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035" w14:textId="4F0ED4ED" w:rsidR="00E637EC" w:rsidRPr="001C7360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FB58C5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PLAN INTERNIH AUDITA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087170" w14:paraId="23577EA4" w14:textId="77777777" w:rsidTr="00087170">
        <w:tc>
          <w:tcPr>
            <w:tcW w:w="2405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7217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087170">
        <w:tc>
          <w:tcPr>
            <w:tcW w:w="2405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7217" w:type="dxa"/>
          </w:tcPr>
          <w:p w14:paraId="5A939B7B" w14:textId="67A09543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FB58C5">
              <w:rPr>
                <w:rFonts w:ascii="Aptos" w:eastAsia="Times New Roman" w:hAnsi="Aptos" w:cs="Times New Roman"/>
                <w:kern w:val="0"/>
                <w14:ligatures w14:val="none"/>
              </w:rPr>
              <w:t>PLAN-IA-01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087170">
        <w:tc>
          <w:tcPr>
            <w:tcW w:w="2405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7217" w:type="dxa"/>
          </w:tcPr>
          <w:p w14:paraId="46D770BE" w14:textId="48D15AC0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087170">
        <w:tc>
          <w:tcPr>
            <w:tcW w:w="2405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7217" w:type="dxa"/>
          </w:tcPr>
          <w:p w14:paraId="782DCCA1" w14:textId="2440FBE2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E94E84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21.11.2025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087170">
        <w:tc>
          <w:tcPr>
            <w:tcW w:w="2405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7217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735FC4E5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37FB832A" w:rsidR="00E637EC" w:rsidRPr="00E637EC" w:rsidRDefault="00FB58C5" w:rsidP="00E637EC">
      <w:pPr>
        <w:pStyle w:val="Heading1"/>
        <w:numPr>
          <w:ilvl w:val="0"/>
          <w:numId w:val="0"/>
        </w:numPr>
      </w:pPr>
      <w:r>
        <w:t>NORMATIVNA OSNOVA</w:t>
      </w:r>
    </w:p>
    <w:p w14:paraId="7D870FF1" w14:textId="77777777" w:rsidR="00FB58C5" w:rsidRPr="00FB58C5" w:rsidRDefault="00FB58C5" w:rsidP="00FB58C5">
      <w:pPr>
        <w:pStyle w:val="ListParagraph"/>
        <w:numPr>
          <w:ilvl w:val="0"/>
          <w:numId w:val="3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B58C5">
        <w:rPr>
          <w:rFonts w:ascii="Aptos" w:eastAsia="Times New Roman" w:hAnsi="Aptos" w:cs="Times New Roman"/>
          <w:kern w:val="0"/>
          <w14:ligatures w14:val="none"/>
        </w:rPr>
        <w:t>ISO 9001:2015 – točka 9.2</w:t>
      </w:r>
    </w:p>
    <w:p w14:paraId="417B96AC" w14:textId="77777777" w:rsidR="00FB58C5" w:rsidRPr="00FB58C5" w:rsidRDefault="00FB58C5" w:rsidP="00FB58C5">
      <w:pPr>
        <w:pStyle w:val="ListParagraph"/>
        <w:numPr>
          <w:ilvl w:val="0"/>
          <w:numId w:val="3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B58C5">
        <w:rPr>
          <w:rFonts w:ascii="Aptos" w:eastAsia="Times New Roman" w:hAnsi="Aptos" w:cs="Times New Roman"/>
          <w:kern w:val="0"/>
          <w14:ligatures w14:val="none"/>
        </w:rPr>
        <w:t>ISO 14001:2015 – točka 9.2</w:t>
      </w:r>
    </w:p>
    <w:p w14:paraId="3D502392" w14:textId="77777777" w:rsidR="00FB58C5" w:rsidRPr="00FB58C5" w:rsidRDefault="00FB58C5" w:rsidP="00FB58C5">
      <w:pPr>
        <w:pStyle w:val="ListParagraph"/>
        <w:numPr>
          <w:ilvl w:val="0"/>
          <w:numId w:val="3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B58C5">
        <w:rPr>
          <w:rFonts w:ascii="Aptos" w:eastAsia="Times New Roman" w:hAnsi="Aptos" w:cs="Times New Roman"/>
          <w:kern w:val="0"/>
          <w14:ligatures w14:val="none"/>
        </w:rPr>
        <w:t>ISO 19011:2018 – Smjernice za auditiranje</w:t>
      </w:r>
    </w:p>
    <w:p w14:paraId="2F2D436A" w14:textId="632C7686" w:rsidR="00E637EC" w:rsidRPr="00FB58C5" w:rsidRDefault="00FB58C5" w:rsidP="00FB58C5">
      <w:pPr>
        <w:pStyle w:val="ListParagraph"/>
        <w:numPr>
          <w:ilvl w:val="0"/>
          <w:numId w:val="32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B58C5">
        <w:rPr>
          <w:rFonts w:ascii="Aptos" w:eastAsia="Times New Roman" w:hAnsi="Aptos" w:cs="Times New Roman"/>
          <w:kern w:val="0"/>
          <w14:ligatures w14:val="none"/>
        </w:rPr>
        <w:t>PROC-IMS-03 – Interni audit</w:t>
      </w:r>
    </w:p>
    <w:p w14:paraId="48133130" w14:textId="1422ED23" w:rsidR="0097083E" w:rsidRPr="00E637EC" w:rsidRDefault="0097083E" w:rsidP="0097083E">
      <w:pPr>
        <w:pStyle w:val="Heading1"/>
      </w:pPr>
      <w:r w:rsidRPr="00E637EC">
        <w:t>SVRHA</w:t>
      </w:r>
    </w:p>
    <w:p w14:paraId="3DCC9B9E" w14:textId="3BE4354F" w:rsidR="0097083E" w:rsidRDefault="006C60FA" w:rsidP="00E81442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C60FA">
        <w:rPr>
          <w:rFonts w:ascii="Aptos" w:eastAsia="Times New Roman" w:hAnsi="Aptos" w:cs="Times New Roman"/>
          <w:kern w:val="0"/>
          <w14:ligatures w14:val="none"/>
        </w:rPr>
        <w:t>Utvrditi godišnji raspored provedbe internih audita IMS sustava (kvaliteta i okoliš), s ciljem osiguranja da se svi procesi i lokacije Tehme provjere najmanje jednom godišnje, te da auditi budu planirani prema rizicima i značajnosti procesa.</w:t>
      </w:r>
    </w:p>
    <w:p w14:paraId="6D7ADC87" w14:textId="77777777" w:rsidR="0097083E" w:rsidRPr="0057768F" w:rsidRDefault="0097083E" w:rsidP="0097083E">
      <w:pPr>
        <w:pStyle w:val="Heading1"/>
        <w:jc w:val="both"/>
      </w:pPr>
      <w:r w:rsidRPr="0057768F">
        <w:t>PODRUČJE PRIMJENE</w:t>
      </w:r>
    </w:p>
    <w:p w14:paraId="300BBAD8" w14:textId="1884D801" w:rsidR="0097083E" w:rsidRDefault="00EC0EA0" w:rsidP="00EC0EA0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 xml:space="preserve">Primjenjuje se na sve procese i lokacije Tehme – ured Zadar i sva gradilišta (niskogradnja, visokogradnja, </w:t>
      </w:r>
      <w:r w:rsidR="00E94E84">
        <w:rPr>
          <w:rFonts w:ascii="Aptos" w:eastAsia="Times New Roman" w:hAnsi="Aptos" w:cs="Times New Roman"/>
          <w:kern w:val="0"/>
          <w14:ligatures w14:val="none"/>
        </w:rPr>
        <w:t>infrastrukturni</w:t>
      </w:r>
      <w:r w:rsidR="00E94E84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EC0EA0">
        <w:rPr>
          <w:rFonts w:ascii="Aptos" w:eastAsia="Times New Roman" w:hAnsi="Aptos" w:cs="Times New Roman"/>
          <w:kern w:val="0"/>
          <w14:ligatures w14:val="none"/>
        </w:rPr>
        <w:t>radovi).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EC0EA0">
        <w:rPr>
          <w:rFonts w:ascii="Aptos" w:eastAsia="Times New Roman" w:hAnsi="Aptos" w:cs="Times New Roman"/>
          <w:kern w:val="0"/>
          <w14:ligatures w14:val="none"/>
        </w:rPr>
        <w:t>Odnosi se na audite sustava, procesa i okolišnih aspekata koji čine dio IMS-a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</w:p>
    <w:p w14:paraId="6E38B9D0" w14:textId="142008BC" w:rsidR="00EC0EA0" w:rsidRDefault="00EC0EA0" w:rsidP="00EC0EA0">
      <w:pPr>
        <w:pStyle w:val="Heading1"/>
      </w:pPr>
      <w:r>
        <w:t>REFERENCE</w:t>
      </w:r>
    </w:p>
    <w:p w14:paraId="65B8A143" w14:textId="012FACBC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ISO 9001:2015 – točka 9.2</w:t>
      </w:r>
    </w:p>
    <w:p w14:paraId="770F617A" w14:textId="1D024B84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ISO 14001:2015 – točka 9.2</w:t>
      </w:r>
    </w:p>
    <w:p w14:paraId="241B72DE" w14:textId="7C17C8AA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ISO 19011:2018 – Smjernice za auditiranje</w:t>
      </w:r>
    </w:p>
    <w:p w14:paraId="4C12778E" w14:textId="377A1290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PRIR-IMS-01 Priručnik IMS</w:t>
      </w:r>
    </w:p>
    <w:p w14:paraId="7B81524E" w14:textId="6126F6A7" w:rsidR="00EC0EA0" w:rsidRP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PROC-IMS-01 Upravljanje dokumentima i zapisima</w:t>
      </w:r>
    </w:p>
    <w:p w14:paraId="7429143D" w14:textId="2ED1446D" w:rsidR="00EC0EA0" w:rsidRDefault="00EC0EA0" w:rsidP="00EC0EA0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C0EA0">
        <w:rPr>
          <w:rFonts w:ascii="Aptos" w:eastAsia="Times New Roman" w:hAnsi="Aptos" w:cs="Times New Roman"/>
          <w:kern w:val="0"/>
          <w14:ligatures w14:val="none"/>
        </w:rPr>
        <w:t>PROC-IMS-02 Upravljanje nesukladnostima i korektivnim radnjama</w:t>
      </w:r>
    </w:p>
    <w:p w14:paraId="0B0F5F22" w14:textId="77777777" w:rsidR="00330BD6" w:rsidRPr="00330BD6" w:rsidRDefault="00330BD6" w:rsidP="00330BD6">
      <w:pPr>
        <w:pStyle w:val="Heading1"/>
      </w:pPr>
      <w:r w:rsidRPr="00330BD6">
        <w:t>STRUKTURA DOKUMENTA</w:t>
      </w:r>
    </w:p>
    <w:p w14:paraId="7D72D2C3" w14:textId="7CED2D80" w:rsidR="00330BD6" w:rsidRPr="00330BD6" w:rsidRDefault="00330BD6" w:rsidP="00815F1E">
      <w:pPr>
        <w:pStyle w:val="Heading2"/>
      </w:pPr>
      <w:r w:rsidRPr="00330BD6">
        <w:t>Opće odrednice</w:t>
      </w:r>
    </w:p>
    <w:p w14:paraId="08D56B70" w14:textId="11B736A5" w:rsidR="00330BD6" w:rsidRPr="00815F1E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815F1E">
        <w:rPr>
          <w:rFonts w:ascii="Aptos" w:eastAsia="Times New Roman" w:hAnsi="Aptos" w:cs="Times New Roman"/>
          <w:b/>
          <w:bCs/>
          <w:kern w:val="0"/>
          <w14:ligatures w14:val="none"/>
        </w:rPr>
        <w:t>Razdoblje provedbe audita:</w:t>
      </w:r>
      <w:r w:rsidR="00815F1E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Pr="00330BD6">
        <w:rPr>
          <w:rFonts w:ascii="Aptos" w:eastAsia="Times New Roman" w:hAnsi="Aptos" w:cs="Times New Roman"/>
          <w:kern w:val="0"/>
          <w14:ligatures w14:val="none"/>
        </w:rPr>
        <w:t>Plan pokriva razdoblje od 01.01.2025. do 31.12.2025., u kojem se mora provesti najmanje jedan audit svakog ključnog procesa IMS-a (kvaliteta i okoliš).</w:t>
      </w:r>
    </w:p>
    <w:p w14:paraId="7E8756AA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A3E516A" w14:textId="68A2C71F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815F1E">
        <w:rPr>
          <w:rFonts w:ascii="Aptos" w:eastAsia="Times New Roman" w:hAnsi="Aptos" w:cs="Times New Roman"/>
          <w:b/>
          <w:bCs/>
          <w:kern w:val="0"/>
          <w14:ligatures w14:val="none"/>
        </w:rPr>
        <w:t>Odgovorna osoba</w:t>
      </w:r>
      <w:r w:rsidRPr="00330BD6">
        <w:rPr>
          <w:rFonts w:ascii="Aptos" w:eastAsia="Times New Roman" w:hAnsi="Aptos" w:cs="Times New Roman"/>
          <w:kern w:val="0"/>
          <w14:ligatures w14:val="none"/>
        </w:rPr>
        <w:t>:</w:t>
      </w:r>
      <w:r w:rsidR="00815F1E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330BD6">
        <w:rPr>
          <w:rFonts w:ascii="Aptos" w:eastAsia="Times New Roman" w:hAnsi="Aptos" w:cs="Times New Roman"/>
          <w:kern w:val="0"/>
          <w14:ligatures w14:val="none"/>
        </w:rPr>
        <w:t>Za izradu, koordinaciju i praćenje provedbe plana odgovoran je Predstavnik uprave (MR), koji ujedno vodi sve evidencije audita (PLAN-IA-01, REG-IA-xx, ZAP-IA-xx) i surađuje s voditeljima gradilišta te HSE referentom.</w:t>
      </w:r>
    </w:p>
    <w:p w14:paraId="63C60741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10328481" w14:textId="20F219C3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815F1E">
        <w:rPr>
          <w:rFonts w:ascii="Aptos" w:eastAsia="Times New Roman" w:hAnsi="Aptos" w:cs="Times New Roman"/>
          <w:b/>
          <w:bCs/>
          <w:kern w:val="0"/>
          <w14:ligatures w14:val="none"/>
        </w:rPr>
        <w:t>Odobrio</w:t>
      </w:r>
      <w:r w:rsidRPr="00330BD6">
        <w:rPr>
          <w:rFonts w:ascii="Aptos" w:eastAsia="Times New Roman" w:hAnsi="Aptos" w:cs="Times New Roman"/>
          <w:kern w:val="0"/>
          <w14:ligatures w14:val="none"/>
        </w:rPr>
        <w:t>:</w:t>
      </w:r>
      <w:r w:rsidR="00815F1E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330BD6">
        <w:rPr>
          <w:rFonts w:ascii="Aptos" w:eastAsia="Times New Roman" w:hAnsi="Aptos" w:cs="Times New Roman"/>
          <w:kern w:val="0"/>
          <w14:ligatures w14:val="none"/>
        </w:rPr>
        <w:t>Plan odobrava Direktor, čime potvrđuje usklađenost planiranih audita s poslovnim planom, dostupnost resursa (auditori, vrijeme, dokumentacija) i prioritetima upravljanja.</w:t>
      </w:r>
    </w:p>
    <w:p w14:paraId="7D120614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37801677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815F1E">
        <w:rPr>
          <w:rFonts w:ascii="Aptos" w:eastAsia="Times New Roman" w:hAnsi="Aptos" w:cs="Times New Roman"/>
          <w:b/>
          <w:bCs/>
          <w:kern w:val="0"/>
          <w14:ligatures w14:val="none"/>
        </w:rPr>
        <w:t>Metodologija planiranja</w:t>
      </w:r>
      <w:r w:rsidRPr="00330BD6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47EAADF8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30BD6">
        <w:rPr>
          <w:rFonts w:ascii="Aptos" w:eastAsia="Times New Roman" w:hAnsi="Aptos" w:cs="Times New Roman"/>
          <w:kern w:val="0"/>
          <w14:ligatures w14:val="none"/>
        </w:rPr>
        <w:t>Auditi se planiraju sustavno, uzimajući u obzir:</w:t>
      </w:r>
    </w:p>
    <w:p w14:paraId="1120DBAA" w14:textId="0F0BD161" w:rsidR="00330BD6" w:rsidRPr="00605627" w:rsidRDefault="00330BD6" w:rsidP="00605627">
      <w:pPr>
        <w:pStyle w:val="ListParagraph"/>
        <w:numPr>
          <w:ilvl w:val="0"/>
          <w:numId w:val="3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05627">
        <w:rPr>
          <w:rFonts w:ascii="Aptos" w:eastAsia="Times New Roman" w:hAnsi="Aptos" w:cs="Times New Roman"/>
          <w:b/>
          <w:bCs/>
          <w:kern w:val="0"/>
          <w14:ligatures w14:val="none"/>
        </w:rPr>
        <w:t>Rezultate prethodnih audita</w:t>
      </w:r>
      <w:r w:rsidRPr="00605627">
        <w:rPr>
          <w:rFonts w:ascii="Aptos" w:eastAsia="Times New Roman" w:hAnsi="Aptos" w:cs="Times New Roman"/>
          <w:kern w:val="0"/>
          <w14:ligatures w14:val="none"/>
        </w:rPr>
        <w:t xml:space="preserve"> – područja s većim brojem nesukladnosti, opažanja ili ponavljajućih problema imaju veći prioritet.</w:t>
      </w:r>
    </w:p>
    <w:p w14:paraId="3497B0B2" w14:textId="536C3E18" w:rsidR="00330BD6" w:rsidRPr="00605627" w:rsidRDefault="00330BD6" w:rsidP="00605627">
      <w:pPr>
        <w:pStyle w:val="ListParagraph"/>
        <w:numPr>
          <w:ilvl w:val="0"/>
          <w:numId w:val="3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05627">
        <w:rPr>
          <w:rFonts w:ascii="Aptos" w:eastAsia="Times New Roman" w:hAnsi="Aptos" w:cs="Times New Roman"/>
          <w:b/>
          <w:bCs/>
          <w:kern w:val="0"/>
          <w14:ligatures w14:val="none"/>
        </w:rPr>
        <w:t>Ocjenu rizika i važnosti procesa</w:t>
      </w:r>
      <w:r w:rsidRPr="00605627">
        <w:rPr>
          <w:rFonts w:ascii="Aptos" w:eastAsia="Times New Roman" w:hAnsi="Aptos" w:cs="Times New Roman"/>
          <w:kern w:val="0"/>
          <w14:ligatures w14:val="none"/>
        </w:rPr>
        <w:t xml:space="preserve"> – koristi se Registar rizika (RIZ-IMS-01) i Matrica aspekata okoliša (AO-IMS-01) kako bi se odredila područja s najvećim mogućim utjecajem na kvalitetu, okoliš i sigurnost.</w:t>
      </w:r>
    </w:p>
    <w:p w14:paraId="3A626F63" w14:textId="7A96FFF9" w:rsidR="00330BD6" w:rsidRPr="00605627" w:rsidRDefault="00330BD6" w:rsidP="00605627">
      <w:pPr>
        <w:pStyle w:val="ListParagraph"/>
        <w:numPr>
          <w:ilvl w:val="0"/>
          <w:numId w:val="3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05627">
        <w:rPr>
          <w:rFonts w:ascii="Aptos" w:eastAsia="Times New Roman" w:hAnsi="Aptos" w:cs="Times New Roman"/>
          <w:b/>
          <w:bCs/>
          <w:kern w:val="0"/>
          <w14:ligatures w14:val="none"/>
        </w:rPr>
        <w:t>Promjene u sustavu ili organizaciji</w:t>
      </w:r>
      <w:r w:rsidRPr="00605627">
        <w:rPr>
          <w:rFonts w:ascii="Aptos" w:eastAsia="Times New Roman" w:hAnsi="Aptos" w:cs="Times New Roman"/>
          <w:kern w:val="0"/>
          <w14:ligatures w14:val="none"/>
        </w:rPr>
        <w:t xml:space="preserve"> – ako su tijekom godine uvedeni novi procesi, tehnologije, podizvođači, materijali ili propisi, plan se revidira i dodaje audit novih područja.</w:t>
      </w:r>
    </w:p>
    <w:p w14:paraId="6D57F0D2" w14:textId="0DE6EAD2" w:rsidR="00330BD6" w:rsidRPr="00605627" w:rsidRDefault="00330BD6" w:rsidP="00605627">
      <w:pPr>
        <w:pStyle w:val="ListParagraph"/>
        <w:numPr>
          <w:ilvl w:val="0"/>
          <w:numId w:val="3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05627">
        <w:rPr>
          <w:rFonts w:ascii="Aptos" w:eastAsia="Times New Roman" w:hAnsi="Aptos" w:cs="Times New Roman"/>
          <w:b/>
          <w:bCs/>
          <w:kern w:val="0"/>
          <w14:ligatures w14:val="none"/>
        </w:rPr>
        <w:t>Zahtjevi normi i zakona</w:t>
      </w:r>
      <w:r w:rsidRPr="00605627">
        <w:rPr>
          <w:rFonts w:ascii="Aptos" w:eastAsia="Times New Roman" w:hAnsi="Aptos" w:cs="Times New Roman"/>
          <w:kern w:val="0"/>
          <w14:ligatures w14:val="none"/>
        </w:rPr>
        <w:t xml:space="preserve"> – osigurava se da svi obvezni zahtjevi ISO 9001, ISO 14001 i važećih zakonskih propisa budu obuhvaćeni najmanje jednom godišnje.</w:t>
      </w:r>
    </w:p>
    <w:p w14:paraId="61BE898B" w14:textId="6ECB3B66" w:rsidR="00330BD6" w:rsidRPr="00605627" w:rsidRDefault="00330BD6" w:rsidP="00605627">
      <w:pPr>
        <w:pStyle w:val="ListParagraph"/>
        <w:numPr>
          <w:ilvl w:val="0"/>
          <w:numId w:val="3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05627">
        <w:rPr>
          <w:rFonts w:ascii="Aptos" w:eastAsia="Times New Roman" w:hAnsi="Aptos" w:cs="Times New Roman"/>
          <w:b/>
          <w:bCs/>
          <w:kern w:val="0"/>
          <w14:ligatures w14:val="none"/>
        </w:rPr>
        <w:t>Povratne informacije iz Uprave i klijenata</w:t>
      </w:r>
      <w:r w:rsidRPr="00605627">
        <w:rPr>
          <w:rFonts w:ascii="Aptos" w:eastAsia="Times New Roman" w:hAnsi="Aptos" w:cs="Times New Roman"/>
          <w:kern w:val="0"/>
          <w14:ligatures w14:val="none"/>
        </w:rPr>
        <w:t xml:space="preserve"> – ako postoje reklamacije, sugestije kupaca ili promjene u poslovnoj strategiji, one se također uzimaju u obzir pri planiranju audita.</w:t>
      </w:r>
    </w:p>
    <w:p w14:paraId="65AF90DB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28459252" w14:textId="2FE55C68" w:rsidR="00330BD6" w:rsidRPr="00330BD6" w:rsidRDefault="00330BD6" w:rsidP="00EC3E6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C3E6E">
        <w:rPr>
          <w:rFonts w:ascii="Aptos" w:eastAsia="Times New Roman" w:hAnsi="Aptos" w:cs="Times New Roman"/>
          <w:b/>
          <w:bCs/>
          <w:kern w:val="0"/>
          <w14:ligatures w14:val="none"/>
        </w:rPr>
        <w:t>Ažuriranje plana</w:t>
      </w:r>
      <w:r w:rsidRPr="00330BD6">
        <w:rPr>
          <w:rFonts w:ascii="Aptos" w:eastAsia="Times New Roman" w:hAnsi="Aptos" w:cs="Times New Roman"/>
          <w:kern w:val="0"/>
          <w14:ligatures w14:val="none"/>
        </w:rPr>
        <w:t>:</w:t>
      </w:r>
      <w:r w:rsidR="00EC3E6E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330BD6">
        <w:rPr>
          <w:rFonts w:ascii="Aptos" w:eastAsia="Times New Roman" w:hAnsi="Aptos" w:cs="Times New Roman"/>
          <w:kern w:val="0"/>
          <w14:ligatures w14:val="none"/>
        </w:rPr>
        <w:t>Plan se ažurira prema potrebi</w:t>
      </w:r>
      <w:r w:rsidR="00EC3E6E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330BD6">
        <w:rPr>
          <w:rFonts w:ascii="Aptos" w:eastAsia="Times New Roman" w:hAnsi="Aptos" w:cs="Times New Roman"/>
          <w:kern w:val="0"/>
          <w14:ligatures w14:val="none"/>
        </w:rPr>
        <w:t>npr. ako dođe do promjene resursa, odgode projekata, izmjene propisa ili ako MR procijeni da je potreban dodatni audit zbog povećanog rizika. Svaka izmjena plana mora biti odobrena od strane direktora i zabilježena u Registar izmjena PLAN-IA-01.</w:t>
      </w:r>
    </w:p>
    <w:p w14:paraId="100B1C2C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D0C512A" w14:textId="710A5D0B" w:rsidR="00330BD6" w:rsidRPr="00EC3E6E" w:rsidRDefault="00330BD6" w:rsidP="00EC3E6E">
      <w:pPr>
        <w:pStyle w:val="Heading2"/>
      </w:pPr>
      <w:r w:rsidRPr="00330BD6">
        <w:t>Učestalost i opseg</w:t>
      </w:r>
    </w:p>
    <w:p w14:paraId="6C92955B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b/>
          <w:bCs/>
          <w:kern w:val="0"/>
          <w14:ligatures w14:val="none"/>
        </w:rPr>
        <w:t>Učestalost audita</w:t>
      </w:r>
      <w:r w:rsidRPr="00330BD6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4E78A52A" w14:textId="1E8A86B3" w:rsidR="00330BD6" w:rsidRPr="00EC3E6E" w:rsidRDefault="00330BD6" w:rsidP="00EC3E6E">
      <w:pPr>
        <w:pStyle w:val="ListParagraph"/>
        <w:numPr>
          <w:ilvl w:val="0"/>
          <w:numId w:val="36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C3E6E">
        <w:rPr>
          <w:rFonts w:ascii="Aptos" w:eastAsia="Times New Roman" w:hAnsi="Aptos" w:cs="Times New Roman"/>
          <w:kern w:val="0"/>
          <w14:ligatures w14:val="none"/>
        </w:rPr>
        <w:t>Svi procesi i lokacije Tehme pokrivene su auditom najmanje jednom godišnje.</w:t>
      </w:r>
    </w:p>
    <w:p w14:paraId="056525B0" w14:textId="11E59575" w:rsidR="00330BD6" w:rsidRPr="00EC3E6E" w:rsidRDefault="00330BD6" w:rsidP="00EC3E6E">
      <w:pPr>
        <w:pStyle w:val="ListParagraph"/>
        <w:numPr>
          <w:ilvl w:val="0"/>
          <w:numId w:val="36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C3E6E">
        <w:rPr>
          <w:rFonts w:ascii="Aptos" w:eastAsia="Times New Roman" w:hAnsi="Aptos" w:cs="Times New Roman"/>
          <w:kern w:val="0"/>
          <w14:ligatures w14:val="none"/>
        </w:rPr>
        <w:t>Procesi s većom učestalošću nesukladnosti, novim zaposlenicima ili tehničkim promjenama auditiraju se dva puta godišnje (npr. gradilišta, okolišni aspekti, HSE nadzor).</w:t>
      </w:r>
    </w:p>
    <w:p w14:paraId="466064C3" w14:textId="521399C6" w:rsidR="00330BD6" w:rsidRPr="00364769" w:rsidRDefault="00330BD6" w:rsidP="00364769">
      <w:pPr>
        <w:pStyle w:val="ListParagraph"/>
        <w:numPr>
          <w:ilvl w:val="0"/>
          <w:numId w:val="36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C3E6E">
        <w:rPr>
          <w:rFonts w:ascii="Aptos" w:eastAsia="Times New Roman" w:hAnsi="Aptos" w:cs="Times New Roman"/>
          <w:kern w:val="0"/>
          <w14:ligatures w14:val="none"/>
        </w:rPr>
        <w:t>U izvanrednim okolnostima (nesreće, incidenti, značajne promjene u zakonodavstvu) može se organizirati izvanredni audit.</w:t>
      </w:r>
    </w:p>
    <w:p w14:paraId="7B065C43" w14:textId="77777777" w:rsidR="00330BD6" w:rsidRPr="00330BD6" w:rsidRDefault="00330BD6" w:rsidP="00815F1E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b/>
          <w:bCs/>
          <w:kern w:val="0"/>
          <w14:ligatures w14:val="none"/>
        </w:rPr>
        <w:t>Opseg audita</w:t>
      </w:r>
      <w:r w:rsidRPr="00330BD6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3E0E64DC" w14:textId="2B746D3B" w:rsidR="00330BD6" w:rsidRPr="00364769" w:rsidRDefault="00330BD6" w:rsidP="00364769">
      <w:pPr>
        <w:pStyle w:val="ListParagraph"/>
        <w:numPr>
          <w:ilvl w:val="0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Plan obuhvaća sve elemente IMS-a (od poglavlja 4 do 10 norme ISO 9001 i ISO 14001), uključujući:</w:t>
      </w:r>
    </w:p>
    <w:p w14:paraId="494022C3" w14:textId="2C8F2B2E" w:rsidR="00330BD6" w:rsidRPr="00364769" w:rsidRDefault="00330BD6" w:rsidP="00364769">
      <w:pPr>
        <w:pStyle w:val="ListParagraph"/>
        <w:numPr>
          <w:ilvl w:val="1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kontekst organizacije, politiku i ciljeve,</w:t>
      </w:r>
    </w:p>
    <w:p w14:paraId="3C8280AF" w14:textId="0B7846C6" w:rsidR="00330BD6" w:rsidRPr="00364769" w:rsidRDefault="00330BD6" w:rsidP="00364769">
      <w:pPr>
        <w:pStyle w:val="ListParagraph"/>
        <w:numPr>
          <w:ilvl w:val="1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procjenu rizika i prilika,</w:t>
      </w:r>
    </w:p>
    <w:p w14:paraId="758F9E5A" w14:textId="203FE336" w:rsidR="00330BD6" w:rsidRPr="00364769" w:rsidRDefault="00330BD6" w:rsidP="00364769">
      <w:pPr>
        <w:pStyle w:val="ListParagraph"/>
        <w:numPr>
          <w:ilvl w:val="1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operativne procese (nabava, logistika, izvođenje radova, održavanje),</w:t>
      </w:r>
    </w:p>
    <w:p w14:paraId="21BAC84D" w14:textId="4DFC5AD2" w:rsidR="00330BD6" w:rsidRPr="00364769" w:rsidRDefault="00330BD6" w:rsidP="00364769">
      <w:pPr>
        <w:pStyle w:val="ListParagraph"/>
        <w:numPr>
          <w:ilvl w:val="1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procese podrške (administracija, dokumentacija, ljudski resursi),</w:t>
      </w:r>
    </w:p>
    <w:p w14:paraId="15A2F124" w14:textId="6534F9B6" w:rsidR="00330BD6" w:rsidRPr="00364769" w:rsidRDefault="00330BD6" w:rsidP="00364769">
      <w:pPr>
        <w:pStyle w:val="ListParagraph"/>
        <w:numPr>
          <w:ilvl w:val="1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praćenje i mjerenje okolišnih aspekata i otpada,</w:t>
      </w:r>
    </w:p>
    <w:p w14:paraId="2709AA47" w14:textId="3C5CA9A3" w:rsidR="00330BD6" w:rsidRPr="00364769" w:rsidRDefault="00330BD6" w:rsidP="00364769">
      <w:pPr>
        <w:pStyle w:val="ListParagraph"/>
        <w:numPr>
          <w:ilvl w:val="1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komunikaciju i obuku zaposlenika.</w:t>
      </w:r>
    </w:p>
    <w:p w14:paraId="0560461B" w14:textId="797D294D" w:rsidR="00330BD6" w:rsidRDefault="00330BD6" w:rsidP="00364769">
      <w:pPr>
        <w:pStyle w:val="ListParagraph"/>
        <w:numPr>
          <w:ilvl w:val="0"/>
          <w:numId w:val="37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364769">
        <w:rPr>
          <w:rFonts w:ascii="Aptos" w:eastAsia="Times New Roman" w:hAnsi="Aptos" w:cs="Times New Roman"/>
          <w:kern w:val="0"/>
          <w14:ligatures w14:val="none"/>
        </w:rPr>
        <w:t>Auditi se provode prema načelu rotacije područja i auditora, čime se osigurava objektivnost i svježa perspektiva svakog ciklusa.</w:t>
      </w:r>
    </w:p>
    <w:p w14:paraId="4C62A1B8" w14:textId="77777777" w:rsidR="00652CCF" w:rsidRPr="00CA7565" w:rsidRDefault="00652CCF" w:rsidP="00652CCF">
      <w:p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A7565">
        <w:rPr>
          <w:rFonts w:ascii="Aptos" w:eastAsia="Times New Roman" w:hAnsi="Aptos" w:cs="Times New Roman"/>
          <w:b/>
          <w:bCs/>
          <w:kern w:val="0"/>
          <w14:ligatures w14:val="none"/>
        </w:rPr>
        <w:t>Vrste audita</w:t>
      </w:r>
    </w:p>
    <w:p w14:paraId="645B773E" w14:textId="5FEFA9FB" w:rsidR="00652CCF" w:rsidRDefault="00652CCF" w:rsidP="00652CCF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652CCF">
        <w:rPr>
          <w:rFonts w:ascii="Aptos" w:eastAsia="Times New Roman" w:hAnsi="Aptos" w:cs="Times New Roman"/>
          <w:kern w:val="0"/>
          <w14:ligatures w14:val="none"/>
        </w:rPr>
        <w:t>Auditi se dijele prema svrsi, dubini i fokusu provjere: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291"/>
        <w:gridCol w:w="4246"/>
        <w:gridCol w:w="2792"/>
        <w:gridCol w:w="1303"/>
      </w:tblGrid>
      <w:tr w:rsidR="00652CCF" w:rsidRPr="00652CCF" w14:paraId="1CC373F0" w14:textId="77777777" w:rsidTr="0065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BF09FB8" w14:textId="77777777" w:rsidR="00652CCF" w:rsidRPr="00652CCF" w:rsidRDefault="00652CCF" w:rsidP="00652C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Vrsta audita</w:t>
            </w:r>
          </w:p>
        </w:tc>
        <w:tc>
          <w:tcPr>
            <w:tcW w:w="0" w:type="auto"/>
            <w:hideMark/>
          </w:tcPr>
          <w:p w14:paraId="392C3647" w14:textId="77777777" w:rsidR="00652CCF" w:rsidRPr="00652CCF" w:rsidRDefault="00652CCF" w:rsidP="00652C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702B12DD" w14:textId="77777777" w:rsidR="00652CCF" w:rsidRPr="00652CCF" w:rsidRDefault="00652CCF" w:rsidP="00652C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Primjeri iz Tehme</w:t>
            </w:r>
          </w:p>
        </w:tc>
        <w:tc>
          <w:tcPr>
            <w:tcW w:w="0" w:type="auto"/>
            <w:hideMark/>
          </w:tcPr>
          <w:p w14:paraId="3F7F96A8" w14:textId="77777777" w:rsidR="00652CCF" w:rsidRPr="00652CCF" w:rsidRDefault="00652CCF" w:rsidP="00652CC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Učestalost</w:t>
            </w:r>
          </w:p>
        </w:tc>
      </w:tr>
      <w:tr w:rsidR="00652CCF" w:rsidRPr="00652CCF" w14:paraId="183CAA9A" w14:textId="77777777" w:rsidTr="0065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438DEA" w14:textId="77777777" w:rsidR="00652CCF" w:rsidRPr="00652CCF" w:rsidRDefault="00652CCF" w:rsidP="00652CC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Sistemski audit</w:t>
            </w:r>
          </w:p>
        </w:tc>
        <w:tc>
          <w:tcPr>
            <w:tcW w:w="0" w:type="auto"/>
            <w:hideMark/>
          </w:tcPr>
          <w:p w14:paraId="67A807AC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Provjerava cjelokupan IMS u odnosu na zahtjeve ISO 9001 i ISO 14001. Usmjeren na politiku, ciljeve, resurse, dokumentaciju i integraciju sustava.</w:t>
            </w:r>
          </w:p>
        </w:tc>
        <w:tc>
          <w:tcPr>
            <w:tcW w:w="0" w:type="auto"/>
            <w:hideMark/>
          </w:tcPr>
          <w:p w14:paraId="343B3E22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Središnji audit u Q2, obuhvaća ured i više gradilišta.</w:t>
            </w:r>
          </w:p>
        </w:tc>
        <w:tc>
          <w:tcPr>
            <w:tcW w:w="0" w:type="auto"/>
            <w:hideMark/>
          </w:tcPr>
          <w:p w14:paraId="5FCB605D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1× godišnje</w:t>
            </w:r>
          </w:p>
        </w:tc>
      </w:tr>
      <w:tr w:rsidR="00652CCF" w:rsidRPr="00652CCF" w14:paraId="720AC3C8" w14:textId="77777777" w:rsidTr="00652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98F1D" w14:textId="77777777" w:rsidR="00652CCF" w:rsidRPr="00652CCF" w:rsidRDefault="00652CCF" w:rsidP="00652CC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Procesni audit</w:t>
            </w:r>
          </w:p>
        </w:tc>
        <w:tc>
          <w:tcPr>
            <w:tcW w:w="0" w:type="auto"/>
            <w:hideMark/>
          </w:tcPr>
          <w:p w14:paraId="6EA43C13" w14:textId="77777777" w:rsidR="00652CCF" w:rsidRPr="00652CCF" w:rsidRDefault="00652CCF" w:rsidP="00652C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Usmjeren na jedan proces ili skupinu povezanih procesa kako bi se procijenila njihova učinkovitost i usklađenost s procedurama.</w:t>
            </w:r>
          </w:p>
        </w:tc>
        <w:tc>
          <w:tcPr>
            <w:tcW w:w="0" w:type="auto"/>
            <w:hideMark/>
          </w:tcPr>
          <w:p w14:paraId="2DA19E5D" w14:textId="77777777" w:rsidR="00652CCF" w:rsidRPr="00652CCF" w:rsidRDefault="00652CCF" w:rsidP="00652C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Nabava, upravljanje dokumentima, gradilišta, HSE nadzor.</w:t>
            </w:r>
          </w:p>
        </w:tc>
        <w:tc>
          <w:tcPr>
            <w:tcW w:w="0" w:type="auto"/>
            <w:hideMark/>
          </w:tcPr>
          <w:p w14:paraId="2C451A32" w14:textId="77777777" w:rsidR="00652CCF" w:rsidRPr="00652CCF" w:rsidRDefault="00652CCF" w:rsidP="00652C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2–3× godišnje</w:t>
            </w:r>
          </w:p>
        </w:tc>
      </w:tr>
      <w:tr w:rsidR="00652CCF" w:rsidRPr="00652CCF" w14:paraId="758452F8" w14:textId="77777777" w:rsidTr="0065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05C4C5" w14:textId="77777777" w:rsidR="00652CCF" w:rsidRPr="00652CCF" w:rsidRDefault="00652CCF" w:rsidP="00652CC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Tematski audit</w:t>
            </w:r>
          </w:p>
        </w:tc>
        <w:tc>
          <w:tcPr>
            <w:tcW w:w="0" w:type="auto"/>
            <w:hideMark/>
          </w:tcPr>
          <w:p w14:paraId="525A8FCF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Fokusiran na specifičnu temu koja prelazi više procesa. Koristi se za provjeru određenih zahtjeva ili područja povećanog rizika.</w:t>
            </w:r>
          </w:p>
        </w:tc>
        <w:tc>
          <w:tcPr>
            <w:tcW w:w="0" w:type="auto"/>
            <w:hideMark/>
          </w:tcPr>
          <w:p w14:paraId="774BD4A8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Gospodarenje otpadom, ispitivanja materijala, zaštita na radu, komunikacija.</w:t>
            </w:r>
          </w:p>
        </w:tc>
        <w:tc>
          <w:tcPr>
            <w:tcW w:w="0" w:type="auto"/>
            <w:hideMark/>
          </w:tcPr>
          <w:p w14:paraId="332A36C8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Po potrebi</w:t>
            </w:r>
          </w:p>
        </w:tc>
      </w:tr>
      <w:tr w:rsidR="00652CCF" w:rsidRPr="00652CCF" w14:paraId="21CACF56" w14:textId="77777777" w:rsidTr="00652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6FFCC3" w14:textId="77777777" w:rsidR="00652CCF" w:rsidRPr="00652CCF" w:rsidRDefault="00652CCF" w:rsidP="00652CC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Follow-up audit</w:t>
            </w:r>
          </w:p>
        </w:tc>
        <w:tc>
          <w:tcPr>
            <w:tcW w:w="0" w:type="auto"/>
            <w:hideMark/>
          </w:tcPr>
          <w:p w14:paraId="1340AAAC" w14:textId="77777777" w:rsidR="00652CCF" w:rsidRPr="00652CCF" w:rsidRDefault="00652CCF" w:rsidP="00652C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Kratki audit kojim se provjerava učinkovitost korektivnih radnji nakon nesukladnosti.</w:t>
            </w:r>
          </w:p>
        </w:tc>
        <w:tc>
          <w:tcPr>
            <w:tcW w:w="0" w:type="auto"/>
            <w:hideMark/>
          </w:tcPr>
          <w:p w14:paraId="32E03644" w14:textId="77777777" w:rsidR="00652CCF" w:rsidRPr="00652CCF" w:rsidRDefault="00652CCF" w:rsidP="00652C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Provjera zatvorenih NC iz prethodnog audita.</w:t>
            </w:r>
          </w:p>
        </w:tc>
        <w:tc>
          <w:tcPr>
            <w:tcW w:w="0" w:type="auto"/>
            <w:hideMark/>
          </w:tcPr>
          <w:p w14:paraId="5E8EA7DE" w14:textId="77777777" w:rsidR="00652CCF" w:rsidRPr="00652CCF" w:rsidRDefault="00652CCF" w:rsidP="00652CC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Nakon svake KR</w:t>
            </w:r>
          </w:p>
        </w:tc>
      </w:tr>
      <w:tr w:rsidR="00652CCF" w:rsidRPr="00652CCF" w14:paraId="3F77F631" w14:textId="77777777" w:rsidTr="00652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0C7FE" w14:textId="77777777" w:rsidR="00652CCF" w:rsidRPr="00652CCF" w:rsidRDefault="00652CCF" w:rsidP="00652CC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Izvanredni audit</w:t>
            </w:r>
          </w:p>
        </w:tc>
        <w:tc>
          <w:tcPr>
            <w:tcW w:w="0" w:type="auto"/>
            <w:hideMark/>
          </w:tcPr>
          <w:p w14:paraId="73854C7D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Provođenje po odluci direktora zbog ozbiljnog incidenta, pritužbe kupca ili regulatornog zahtjeva.</w:t>
            </w:r>
          </w:p>
        </w:tc>
        <w:tc>
          <w:tcPr>
            <w:tcW w:w="0" w:type="auto"/>
            <w:hideMark/>
          </w:tcPr>
          <w:p w14:paraId="5BD442EE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Nakon okolišnog incidenta ili nalaza inspekcije.</w:t>
            </w:r>
          </w:p>
        </w:tc>
        <w:tc>
          <w:tcPr>
            <w:tcW w:w="0" w:type="auto"/>
            <w:hideMark/>
          </w:tcPr>
          <w:p w14:paraId="79189779" w14:textId="77777777" w:rsidR="00652CCF" w:rsidRPr="00652CCF" w:rsidRDefault="00652CCF" w:rsidP="00652CC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52CC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Po potrebi</w:t>
            </w:r>
          </w:p>
        </w:tc>
      </w:tr>
    </w:tbl>
    <w:p w14:paraId="32CB4BD0" w14:textId="77777777" w:rsidR="00CA7565" w:rsidRPr="00CA7565" w:rsidRDefault="00CA7565" w:rsidP="00CA7565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CA7565">
        <w:rPr>
          <w:rFonts w:ascii="Aptos" w:eastAsia="Times New Roman" w:hAnsi="Aptos" w:cs="Times New Roman"/>
          <w:b/>
          <w:bCs/>
          <w:kern w:val="0"/>
          <w14:ligatures w14:val="none"/>
        </w:rPr>
        <w:t>Napomena:</w:t>
      </w:r>
    </w:p>
    <w:p w14:paraId="3C2832CB" w14:textId="77777777" w:rsidR="00CA7565" w:rsidRPr="00CA7565" w:rsidRDefault="00CA7565" w:rsidP="00CA7565">
      <w:pPr>
        <w:pStyle w:val="ListParagraph"/>
        <w:numPr>
          <w:ilvl w:val="0"/>
          <w:numId w:val="39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A7565">
        <w:rPr>
          <w:rFonts w:ascii="Aptos" w:eastAsia="Times New Roman" w:hAnsi="Aptos" w:cs="Times New Roman"/>
          <w:kern w:val="0"/>
          <w14:ligatures w14:val="none"/>
        </w:rPr>
        <w:t>Svaki audit mora imati jasno definiran opseg, kriterije, auditora, rok i način izvještavanja.</w:t>
      </w:r>
    </w:p>
    <w:p w14:paraId="6D31737B" w14:textId="77777777" w:rsidR="00CA7565" w:rsidRPr="00CA7565" w:rsidRDefault="00CA7565" w:rsidP="00CA7565">
      <w:pPr>
        <w:pStyle w:val="ListParagraph"/>
        <w:numPr>
          <w:ilvl w:val="0"/>
          <w:numId w:val="39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A7565">
        <w:rPr>
          <w:rFonts w:ascii="Aptos" w:eastAsia="Times New Roman" w:hAnsi="Aptos" w:cs="Times New Roman"/>
          <w:kern w:val="0"/>
          <w14:ligatures w14:val="none"/>
        </w:rPr>
        <w:t>Auditi se planiraju tako da ne ometaju redovan rad gradilišta i provode se u dogovoru s voditeljima projekata.</w:t>
      </w:r>
    </w:p>
    <w:p w14:paraId="3558F8DA" w14:textId="215BC267" w:rsidR="00CA7565" w:rsidRPr="00CA7565" w:rsidRDefault="00CA7565" w:rsidP="00CA7565">
      <w:pPr>
        <w:pStyle w:val="ListParagraph"/>
        <w:numPr>
          <w:ilvl w:val="0"/>
          <w:numId w:val="39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CA7565">
        <w:rPr>
          <w:rFonts w:ascii="Aptos" w:eastAsia="Times New Roman" w:hAnsi="Aptos" w:cs="Times New Roman"/>
          <w:kern w:val="0"/>
          <w14:ligatures w14:val="none"/>
        </w:rPr>
        <w:t>MR je odgovoran da svi auditi budu provedeni u planiranom roku ± 30 dana i da su rezultati uneseni u Registar audita (REG-IA-xx).</w:t>
      </w:r>
    </w:p>
    <w:p w14:paraId="4849F5B8" w14:textId="46E874CF" w:rsidR="000B7010" w:rsidRDefault="000B7010" w:rsidP="000B7010">
      <w:pPr>
        <w:pStyle w:val="Heading1"/>
      </w:pPr>
      <w:r>
        <w:t>TABLICA PLANA INTERNIH AUDITA ZA 2025.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807"/>
        <w:gridCol w:w="759"/>
        <w:gridCol w:w="1961"/>
        <w:gridCol w:w="1310"/>
        <w:gridCol w:w="973"/>
        <w:gridCol w:w="1004"/>
        <w:gridCol w:w="1266"/>
        <w:gridCol w:w="1552"/>
      </w:tblGrid>
      <w:tr w:rsidR="000676CD" w:rsidRPr="003A515D" w14:paraId="60ACCEC1" w14:textId="77777777" w:rsidTr="00067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534D6C4" w14:textId="77777777" w:rsidR="003A515D" w:rsidRPr="003A515D" w:rsidRDefault="003A515D" w:rsidP="00A804C6">
            <w:pPr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Godina</w:t>
            </w:r>
          </w:p>
        </w:tc>
        <w:tc>
          <w:tcPr>
            <w:tcW w:w="759" w:type="dxa"/>
            <w:hideMark/>
          </w:tcPr>
          <w:p w14:paraId="771FF491" w14:textId="77777777" w:rsidR="003A515D" w:rsidRPr="003A515D" w:rsidRDefault="003A515D" w:rsidP="00A80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Br. audita</w:t>
            </w:r>
          </w:p>
        </w:tc>
        <w:tc>
          <w:tcPr>
            <w:tcW w:w="1961" w:type="dxa"/>
            <w:hideMark/>
          </w:tcPr>
          <w:p w14:paraId="1FF656F0" w14:textId="77777777" w:rsidR="003A515D" w:rsidRPr="003A515D" w:rsidRDefault="003A515D" w:rsidP="00A80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Proces / funkcija</w:t>
            </w:r>
          </w:p>
        </w:tc>
        <w:tc>
          <w:tcPr>
            <w:tcW w:w="1310" w:type="dxa"/>
            <w:hideMark/>
          </w:tcPr>
          <w:p w14:paraId="4871FD32" w14:textId="77777777" w:rsidR="003A515D" w:rsidRPr="003A515D" w:rsidRDefault="003A515D" w:rsidP="00A80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ISO zahtjevi / Annex A kontrole</w:t>
            </w:r>
          </w:p>
        </w:tc>
        <w:tc>
          <w:tcPr>
            <w:tcW w:w="973" w:type="dxa"/>
            <w:hideMark/>
          </w:tcPr>
          <w:p w14:paraId="580B2FFE" w14:textId="77777777" w:rsidR="003A515D" w:rsidRPr="003A515D" w:rsidRDefault="003A515D" w:rsidP="00A80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Vrsta audita</w:t>
            </w:r>
          </w:p>
        </w:tc>
        <w:tc>
          <w:tcPr>
            <w:tcW w:w="1004" w:type="dxa"/>
            <w:hideMark/>
          </w:tcPr>
          <w:p w14:paraId="403D1264" w14:textId="77777777" w:rsidR="003A515D" w:rsidRPr="003A515D" w:rsidRDefault="003A515D" w:rsidP="00A80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Planirano razdoblje</w:t>
            </w:r>
          </w:p>
        </w:tc>
        <w:tc>
          <w:tcPr>
            <w:tcW w:w="1266" w:type="dxa"/>
            <w:hideMark/>
          </w:tcPr>
          <w:p w14:paraId="01F76E7C" w14:textId="77777777" w:rsidR="003A515D" w:rsidRPr="003A515D" w:rsidRDefault="003A515D" w:rsidP="00A80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Auditor</w:t>
            </w:r>
          </w:p>
        </w:tc>
        <w:tc>
          <w:tcPr>
            <w:tcW w:w="1552" w:type="dxa"/>
            <w:hideMark/>
          </w:tcPr>
          <w:p w14:paraId="0C562A98" w14:textId="77777777" w:rsidR="003A515D" w:rsidRPr="003A515D" w:rsidRDefault="003A515D" w:rsidP="00A804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Napomena</w:t>
            </w:r>
          </w:p>
        </w:tc>
      </w:tr>
      <w:tr w:rsidR="000676CD" w:rsidRPr="003A515D" w14:paraId="0E0E266C" w14:textId="77777777" w:rsidTr="0006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84A229" w14:textId="77777777" w:rsidR="003A515D" w:rsidRPr="003A515D" w:rsidRDefault="003A515D" w:rsidP="00A804C6">
            <w:pPr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759" w:type="dxa"/>
            <w:hideMark/>
          </w:tcPr>
          <w:p w14:paraId="5B4DEA91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61" w:type="dxa"/>
            <w:hideMark/>
          </w:tcPr>
          <w:p w14:paraId="572C9730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Upravljanje IMS-om (politike, ciljevi, rizici, SoA, CAPA, obuka, incidenti, dobavljači, BCP)</w:t>
            </w:r>
          </w:p>
        </w:tc>
        <w:tc>
          <w:tcPr>
            <w:tcW w:w="1310" w:type="dxa"/>
            <w:hideMark/>
          </w:tcPr>
          <w:p w14:paraId="64B0F676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ISO 9001: 4–10, ISO 14001: 4–10</w:t>
            </w:r>
          </w:p>
        </w:tc>
        <w:tc>
          <w:tcPr>
            <w:tcW w:w="973" w:type="dxa"/>
            <w:hideMark/>
          </w:tcPr>
          <w:p w14:paraId="73EBE787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Sistemski</w:t>
            </w:r>
          </w:p>
        </w:tc>
        <w:tc>
          <w:tcPr>
            <w:tcW w:w="1004" w:type="dxa"/>
            <w:hideMark/>
          </w:tcPr>
          <w:p w14:paraId="3C1E1E01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Q2 2025</w:t>
            </w:r>
          </w:p>
        </w:tc>
        <w:tc>
          <w:tcPr>
            <w:tcW w:w="1266" w:type="dxa"/>
            <w:hideMark/>
          </w:tcPr>
          <w:p w14:paraId="6A71DEDB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MR (interni auditor)</w:t>
            </w:r>
          </w:p>
        </w:tc>
        <w:tc>
          <w:tcPr>
            <w:tcW w:w="1552" w:type="dxa"/>
            <w:hideMark/>
          </w:tcPr>
          <w:p w14:paraId="2D7F773D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Pokriva mandatory područja</w:t>
            </w:r>
          </w:p>
        </w:tc>
      </w:tr>
      <w:tr w:rsidR="000676CD" w:rsidRPr="003A515D" w14:paraId="6DBD3028" w14:textId="77777777" w:rsidTr="00067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E4A6BE" w14:textId="77777777" w:rsidR="003A515D" w:rsidRPr="003A515D" w:rsidRDefault="003A515D" w:rsidP="00A804C6">
            <w:pPr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759" w:type="dxa"/>
            <w:hideMark/>
          </w:tcPr>
          <w:p w14:paraId="11DDB8FE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61" w:type="dxa"/>
            <w:hideMark/>
          </w:tcPr>
          <w:p w14:paraId="020EA651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Nabava, podizvođači i logistika</w:t>
            </w:r>
          </w:p>
        </w:tc>
        <w:tc>
          <w:tcPr>
            <w:tcW w:w="1310" w:type="dxa"/>
            <w:hideMark/>
          </w:tcPr>
          <w:p w14:paraId="070F3431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ISO 9001: 8.4, ISO 14001: 8.1</w:t>
            </w:r>
          </w:p>
        </w:tc>
        <w:tc>
          <w:tcPr>
            <w:tcW w:w="973" w:type="dxa"/>
            <w:hideMark/>
          </w:tcPr>
          <w:p w14:paraId="6D51E935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Procesni</w:t>
            </w:r>
          </w:p>
        </w:tc>
        <w:tc>
          <w:tcPr>
            <w:tcW w:w="1004" w:type="dxa"/>
            <w:hideMark/>
          </w:tcPr>
          <w:p w14:paraId="7A6C89EE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Q2 2025</w:t>
            </w:r>
          </w:p>
        </w:tc>
        <w:tc>
          <w:tcPr>
            <w:tcW w:w="1266" w:type="dxa"/>
            <w:hideMark/>
          </w:tcPr>
          <w:p w14:paraId="30F471C3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Voditelj gradilišta (osposobljen auditor)</w:t>
            </w:r>
          </w:p>
        </w:tc>
        <w:tc>
          <w:tcPr>
            <w:tcW w:w="1552" w:type="dxa"/>
            <w:hideMark/>
          </w:tcPr>
          <w:p w14:paraId="2CBD1AE3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Fokus na dobavljače i evidencije</w:t>
            </w:r>
          </w:p>
        </w:tc>
      </w:tr>
      <w:tr w:rsidR="000676CD" w:rsidRPr="003A515D" w14:paraId="6AD0DFBB" w14:textId="77777777" w:rsidTr="0006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ED697E" w14:textId="77777777" w:rsidR="003A515D" w:rsidRPr="003A515D" w:rsidRDefault="003A515D" w:rsidP="00A804C6">
            <w:pPr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759" w:type="dxa"/>
            <w:hideMark/>
          </w:tcPr>
          <w:p w14:paraId="67F4BD18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961" w:type="dxa"/>
            <w:hideMark/>
          </w:tcPr>
          <w:p w14:paraId="33073602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Gradilišta (izvedba, okolišni aspekti, otpad)</w:t>
            </w:r>
          </w:p>
        </w:tc>
        <w:tc>
          <w:tcPr>
            <w:tcW w:w="1310" w:type="dxa"/>
            <w:hideMark/>
          </w:tcPr>
          <w:p w14:paraId="36AFC0F8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ISO 9001: 8.5, ISO 14001: 8.1–8.2</w:t>
            </w:r>
          </w:p>
        </w:tc>
        <w:tc>
          <w:tcPr>
            <w:tcW w:w="973" w:type="dxa"/>
            <w:hideMark/>
          </w:tcPr>
          <w:p w14:paraId="0F8AC68F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Procesni / okolišni</w:t>
            </w:r>
          </w:p>
        </w:tc>
        <w:tc>
          <w:tcPr>
            <w:tcW w:w="1004" w:type="dxa"/>
            <w:hideMark/>
          </w:tcPr>
          <w:p w14:paraId="59F014F8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Q3 2025</w:t>
            </w:r>
          </w:p>
        </w:tc>
        <w:tc>
          <w:tcPr>
            <w:tcW w:w="1266" w:type="dxa"/>
            <w:hideMark/>
          </w:tcPr>
          <w:p w14:paraId="6A6150B2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MR + HSE referent</w:t>
            </w:r>
          </w:p>
        </w:tc>
        <w:tc>
          <w:tcPr>
            <w:tcW w:w="1552" w:type="dxa"/>
            <w:hideMark/>
          </w:tcPr>
          <w:p w14:paraId="3261BE5E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Kombinirani audit</w:t>
            </w:r>
          </w:p>
        </w:tc>
      </w:tr>
      <w:tr w:rsidR="000676CD" w:rsidRPr="003A515D" w14:paraId="70C56337" w14:textId="77777777" w:rsidTr="00067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402FD" w14:textId="77777777" w:rsidR="003A515D" w:rsidRPr="003A515D" w:rsidRDefault="003A515D" w:rsidP="00A804C6">
            <w:pPr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759" w:type="dxa"/>
            <w:hideMark/>
          </w:tcPr>
          <w:p w14:paraId="0293A012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61" w:type="dxa"/>
            <w:hideMark/>
          </w:tcPr>
          <w:p w14:paraId="74708530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Administracija i dokumentacija</w:t>
            </w:r>
          </w:p>
        </w:tc>
        <w:tc>
          <w:tcPr>
            <w:tcW w:w="1310" w:type="dxa"/>
            <w:hideMark/>
          </w:tcPr>
          <w:p w14:paraId="1BB27A8D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ISO 9001: 7.5, ISO 14001: 7.5</w:t>
            </w:r>
          </w:p>
        </w:tc>
        <w:tc>
          <w:tcPr>
            <w:tcW w:w="973" w:type="dxa"/>
            <w:hideMark/>
          </w:tcPr>
          <w:p w14:paraId="29144439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Tematski</w:t>
            </w:r>
          </w:p>
        </w:tc>
        <w:tc>
          <w:tcPr>
            <w:tcW w:w="1004" w:type="dxa"/>
            <w:hideMark/>
          </w:tcPr>
          <w:p w14:paraId="0989FFC0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Q3 2025</w:t>
            </w:r>
          </w:p>
        </w:tc>
        <w:tc>
          <w:tcPr>
            <w:tcW w:w="1266" w:type="dxa"/>
            <w:hideMark/>
          </w:tcPr>
          <w:p w14:paraId="0E250F57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MR</w:t>
            </w:r>
          </w:p>
        </w:tc>
        <w:tc>
          <w:tcPr>
            <w:tcW w:w="1552" w:type="dxa"/>
            <w:hideMark/>
          </w:tcPr>
          <w:p w14:paraId="3ECA44FD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Provjera kontrole dokumenata</w:t>
            </w:r>
          </w:p>
        </w:tc>
      </w:tr>
      <w:tr w:rsidR="000676CD" w:rsidRPr="003A515D" w14:paraId="5843CA88" w14:textId="77777777" w:rsidTr="0006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C35DB" w14:textId="77777777" w:rsidR="003A515D" w:rsidRPr="003A515D" w:rsidRDefault="003A515D" w:rsidP="00A804C6">
            <w:pPr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759" w:type="dxa"/>
            <w:hideMark/>
          </w:tcPr>
          <w:p w14:paraId="3B2AFC95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961" w:type="dxa"/>
            <w:hideMark/>
          </w:tcPr>
          <w:p w14:paraId="7B28BACA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Upravina ocjena, ciljevi i KPI-jevi</w:t>
            </w:r>
          </w:p>
        </w:tc>
        <w:tc>
          <w:tcPr>
            <w:tcW w:w="1310" w:type="dxa"/>
            <w:hideMark/>
          </w:tcPr>
          <w:p w14:paraId="6492CF57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ISO 9001: 9.3, ISO 14001: 9.3</w:t>
            </w:r>
          </w:p>
        </w:tc>
        <w:tc>
          <w:tcPr>
            <w:tcW w:w="973" w:type="dxa"/>
            <w:hideMark/>
          </w:tcPr>
          <w:p w14:paraId="6F293576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Sistemski</w:t>
            </w:r>
          </w:p>
        </w:tc>
        <w:tc>
          <w:tcPr>
            <w:tcW w:w="1004" w:type="dxa"/>
            <w:hideMark/>
          </w:tcPr>
          <w:p w14:paraId="1AF4EF8C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Q4 2025</w:t>
            </w:r>
          </w:p>
        </w:tc>
        <w:tc>
          <w:tcPr>
            <w:tcW w:w="1266" w:type="dxa"/>
            <w:hideMark/>
          </w:tcPr>
          <w:p w14:paraId="4196951E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Direktor + MR</w:t>
            </w:r>
          </w:p>
        </w:tc>
        <w:tc>
          <w:tcPr>
            <w:tcW w:w="1552" w:type="dxa"/>
            <w:hideMark/>
          </w:tcPr>
          <w:p w14:paraId="48E36FC6" w14:textId="77777777" w:rsidR="003A515D" w:rsidRPr="003A515D" w:rsidRDefault="003A515D" w:rsidP="00A80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Ulaz za Upravinu ocjenu</w:t>
            </w:r>
          </w:p>
        </w:tc>
      </w:tr>
      <w:tr w:rsidR="000676CD" w:rsidRPr="003A515D" w14:paraId="3409628A" w14:textId="77777777" w:rsidTr="00067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DA7D0" w14:textId="77777777" w:rsidR="003A515D" w:rsidRPr="003A515D" w:rsidRDefault="003A515D" w:rsidP="00A804C6">
            <w:pPr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759" w:type="dxa"/>
            <w:hideMark/>
          </w:tcPr>
          <w:p w14:paraId="75DB9952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961" w:type="dxa"/>
            <w:hideMark/>
          </w:tcPr>
          <w:p w14:paraId="0495D8ED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Okolišno upravljanje i usklađenost s propisima</w:t>
            </w:r>
          </w:p>
        </w:tc>
        <w:tc>
          <w:tcPr>
            <w:tcW w:w="1310" w:type="dxa"/>
            <w:hideMark/>
          </w:tcPr>
          <w:p w14:paraId="03AFB26D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ISO 14001: 6.1, 9.1, 9.3</w:t>
            </w:r>
          </w:p>
        </w:tc>
        <w:tc>
          <w:tcPr>
            <w:tcW w:w="973" w:type="dxa"/>
            <w:hideMark/>
          </w:tcPr>
          <w:p w14:paraId="065CA72A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Tematski</w:t>
            </w:r>
          </w:p>
        </w:tc>
        <w:tc>
          <w:tcPr>
            <w:tcW w:w="1004" w:type="dxa"/>
            <w:hideMark/>
          </w:tcPr>
          <w:p w14:paraId="2B85A623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Q4 2025</w:t>
            </w:r>
          </w:p>
        </w:tc>
        <w:tc>
          <w:tcPr>
            <w:tcW w:w="1266" w:type="dxa"/>
            <w:hideMark/>
          </w:tcPr>
          <w:p w14:paraId="4143692D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1552" w:type="dxa"/>
            <w:hideMark/>
          </w:tcPr>
          <w:p w14:paraId="5226C2BB" w14:textId="77777777" w:rsidR="003A515D" w:rsidRPr="003A515D" w:rsidRDefault="003A515D" w:rsidP="00A8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3A515D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Obuhvaća aspekte, otpad, usklađenost</w:t>
            </w:r>
          </w:p>
        </w:tc>
      </w:tr>
    </w:tbl>
    <w:p w14:paraId="7C020A98" w14:textId="1AB27A59" w:rsidR="001A0700" w:rsidRPr="001A0700" w:rsidRDefault="002A4DDF" w:rsidP="002A4DDF">
      <w:pPr>
        <w:pStyle w:val="Heading1"/>
      </w:pPr>
      <w:r w:rsidRPr="001A0700">
        <w:t>PRAĆENJE REALIZACIJE</w:t>
      </w:r>
    </w:p>
    <w:p w14:paraId="1B6008E2" w14:textId="2634BDA9" w:rsidR="001A0700" w:rsidRPr="001A0700" w:rsidRDefault="001A0700" w:rsidP="002A4DDF">
      <w:pPr>
        <w:pStyle w:val="Heading2"/>
      </w:pPr>
      <w:r w:rsidRPr="001A0700">
        <w:t>Evidentiranje provedbe audita</w:t>
      </w:r>
    </w:p>
    <w:p w14:paraId="4E418B43" w14:textId="455FB9DB" w:rsidR="001A0700" w:rsidRPr="002A4DDF" w:rsidRDefault="001A0700" w:rsidP="002A4DDF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MR vodi Registar audita (REG-IA-xx) koji služi kao glavni zapis o stvarnoj provedbi svih planiranih i izvanrednih audita.</w:t>
      </w:r>
    </w:p>
    <w:p w14:paraId="438855EB" w14:textId="0469DDA1" w:rsidR="001A0700" w:rsidRPr="002A4DDF" w:rsidRDefault="001A0700" w:rsidP="002A4DDF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U registru se za svaki audit bilježe sljedeći podaci:</w:t>
      </w:r>
    </w:p>
    <w:p w14:paraId="6054E446" w14:textId="6C681F82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lastRenderedPageBreak/>
        <w:t>jedinstveni identifikacijski broj audita (npr. IA-2025-01),</w:t>
      </w:r>
    </w:p>
    <w:p w14:paraId="33C62B58" w14:textId="718DBD01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vrsta audita (sistemski, procesni, tematski, follow-up, izvanredni),</w:t>
      </w:r>
    </w:p>
    <w:p w14:paraId="5479A79C" w14:textId="6598B617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naziv procesa ili lokacije,</w:t>
      </w:r>
    </w:p>
    <w:p w14:paraId="5A1FE0F0" w14:textId="2E8E6B65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planirani i stvarni datum provedbe,</w:t>
      </w:r>
    </w:p>
    <w:p w14:paraId="14054C27" w14:textId="28BACFC5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ime auditora i auditiranog,</w:t>
      </w:r>
    </w:p>
    <w:p w14:paraId="2A473C67" w14:textId="21C17662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sažetak nalaza (NC, opažanja, prilike za poboljšanje),</w:t>
      </w:r>
    </w:p>
    <w:p w14:paraId="09E4F2CB" w14:textId="15E761D3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status nalaza (otvoreno / u tijeku / zatvoreno),</w:t>
      </w:r>
    </w:p>
    <w:p w14:paraId="2F431224" w14:textId="73912BCB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datum i način zatvaranja,</w:t>
      </w:r>
    </w:p>
    <w:p w14:paraId="3088189E" w14:textId="5277F1D2" w:rsidR="001A0700" w:rsidRPr="002A4DDF" w:rsidRDefault="001A0700" w:rsidP="002A4DDF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poveznica na Zapisnik o auditu (ZAP-IA-xx) i relevantne dokumente (OBR-NC-01, REG-NC-KR).</w:t>
      </w:r>
    </w:p>
    <w:p w14:paraId="702539D7" w14:textId="5E84E69F" w:rsidR="001A0700" w:rsidRPr="001A0700" w:rsidRDefault="001A0700" w:rsidP="002A4DDF">
      <w:pPr>
        <w:pStyle w:val="Heading2"/>
      </w:pPr>
      <w:r w:rsidRPr="001A0700">
        <w:t>Ažuriranje i izmjene plana</w:t>
      </w:r>
    </w:p>
    <w:p w14:paraId="5F28E224" w14:textId="465A7159" w:rsidR="001A0700" w:rsidRPr="002A4DDF" w:rsidRDefault="001A0700" w:rsidP="002A4DDF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Ako planirani audit nije moguće provesti prema rasporedu (npr. zbog vremenskih uvjeta, bolesti auditora, preklapanja s građevinskim radovima, ili odgode projekta), MR:</w:t>
      </w:r>
    </w:p>
    <w:p w14:paraId="3E7874A4" w14:textId="5AABF4FB" w:rsidR="001A0700" w:rsidRPr="002A4DDF" w:rsidRDefault="001A0700" w:rsidP="002A4DDF">
      <w:pPr>
        <w:pStyle w:val="ListParagraph"/>
        <w:numPr>
          <w:ilvl w:val="0"/>
          <w:numId w:val="4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dokumentira razlog odgode u REG-IA-xx i na originalnom planu (PLAN-IA-01);</w:t>
      </w:r>
    </w:p>
    <w:p w14:paraId="2E1F9132" w14:textId="11E229B6" w:rsidR="001A0700" w:rsidRPr="002A4DDF" w:rsidRDefault="001A0700" w:rsidP="002A4DDF">
      <w:pPr>
        <w:pStyle w:val="ListParagraph"/>
        <w:numPr>
          <w:ilvl w:val="0"/>
          <w:numId w:val="4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predlaže novi termin koji mora biti unutar 30 dana od planiranog roka;</w:t>
      </w:r>
    </w:p>
    <w:p w14:paraId="0C11E7EF" w14:textId="02479CFF" w:rsidR="001A0700" w:rsidRPr="002A4DDF" w:rsidRDefault="001A0700" w:rsidP="002A4DDF">
      <w:pPr>
        <w:pStyle w:val="ListParagraph"/>
        <w:numPr>
          <w:ilvl w:val="0"/>
          <w:numId w:val="42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obavještava Direktora i, po potrebi, auditirani odjel.</w:t>
      </w:r>
    </w:p>
    <w:p w14:paraId="25FB7B37" w14:textId="469004DD" w:rsidR="001A0700" w:rsidRPr="001A0700" w:rsidRDefault="001A0700" w:rsidP="00597597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Svaka promjena termina ili auditora mora biti odobrena od strane direktora, a nova verzija plana označena kao revizija (v1.x).</w:t>
      </w:r>
    </w:p>
    <w:p w14:paraId="52998DF2" w14:textId="7BBC4FA0" w:rsidR="001A0700" w:rsidRPr="00597597" w:rsidRDefault="001A0700" w:rsidP="00597597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Ako je audit odgođen više od 60 dana bez opravdanog razloga, MR mora pokrenuti izvješće o odstupanju (NC) prema proceduri PROC-IMS-02.</w:t>
      </w:r>
    </w:p>
    <w:p w14:paraId="67E76057" w14:textId="20BA6A9D" w:rsidR="001A0700" w:rsidRPr="001A0700" w:rsidRDefault="001A0700" w:rsidP="00597597">
      <w:pPr>
        <w:pStyle w:val="Heading2"/>
      </w:pPr>
      <w:r w:rsidRPr="001A0700">
        <w:t>Nadzor provedbe i izvještavanje</w:t>
      </w:r>
    </w:p>
    <w:p w14:paraId="3267EB3C" w14:textId="18E2486E" w:rsidR="001A0700" w:rsidRPr="001A0700" w:rsidRDefault="001A0700" w:rsidP="00597597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MR mjesečno pregledava status realizacije audita prema planu (postotak izvršenja, broj odgođenih, broj zatvorenih nalaza).</w:t>
      </w:r>
    </w:p>
    <w:p w14:paraId="57B8196A" w14:textId="3C017615" w:rsidR="001A0700" w:rsidRPr="001A0700" w:rsidRDefault="001A0700" w:rsidP="00597597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Rezultati pregleda prikazuju se u mjesečnom izvještaju o IMS aktivnostima, a najmanje jednom godišnje i u Upravinoj ocjeni (PROC-IMS-04).</w:t>
      </w:r>
    </w:p>
    <w:p w14:paraId="4CB3CF53" w14:textId="1F1BE078" w:rsidR="001A0700" w:rsidRPr="001A0700" w:rsidRDefault="001A0700" w:rsidP="00597597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U izvještaju se analiziraju:</w:t>
      </w:r>
    </w:p>
    <w:p w14:paraId="2925787F" w14:textId="0B7F1119" w:rsidR="001A0700" w:rsidRPr="001A0700" w:rsidRDefault="001A0700" w:rsidP="0008286D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broj provedenih audita u odnosu na planirane,</w:t>
      </w:r>
    </w:p>
    <w:p w14:paraId="1D8C75B5" w14:textId="24BF93B9" w:rsidR="001A0700" w:rsidRPr="001A0700" w:rsidRDefault="001A0700" w:rsidP="0008286D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broj i vrsta utvrđenih nesukladnosti,</w:t>
      </w:r>
    </w:p>
    <w:p w14:paraId="308C64DD" w14:textId="6492D70D" w:rsidR="001A0700" w:rsidRPr="001A0700" w:rsidRDefault="001A0700" w:rsidP="0008286D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ponavljajući nalazi i trendovi,</w:t>
      </w:r>
    </w:p>
    <w:p w14:paraId="15065066" w14:textId="70510C6C" w:rsidR="001A0700" w:rsidRPr="001A0700" w:rsidRDefault="001A0700" w:rsidP="0008286D">
      <w:pPr>
        <w:pStyle w:val="ListParagraph"/>
        <w:numPr>
          <w:ilvl w:val="1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učinkovitost korektivnih radnji (zatvaranje NC u REG-NC-KR).</w:t>
      </w:r>
    </w:p>
    <w:p w14:paraId="2E4711ED" w14:textId="7056915A" w:rsidR="001A0700" w:rsidRDefault="001A0700" w:rsidP="00597597">
      <w:pPr>
        <w:pStyle w:val="ListParagraph"/>
        <w:numPr>
          <w:ilvl w:val="0"/>
          <w:numId w:val="40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Upravina ocjena koristi te podatke kao ulaz za definiranje novih ciljeva i poboljšanja IMS sustava.</w:t>
      </w:r>
    </w:p>
    <w:p w14:paraId="252393C9" w14:textId="3F3AB188" w:rsidR="001A0700" w:rsidRPr="001A0700" w:rsidRDefault="001A0700" w:rsidP="0073506E">
      <w:pPr>
        <w:pStyle w:val="Heading2"/>
      </w:pPr>
      <w:r w:rsidRPr="001A0700">
        <w:t>Ključni pokazatelji učinkovitosti (KPI)</w:t>
      </w:r>
    </w:p>
    <w:p w14:paraId="32BAE314" w14:textId="709FB42A" w:rsidR="0038698E" w:rsidRDefault="001A0700" w:rsidP="001A0700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1A0700">
        <w:rPr>
          <w:rFonts w:ascii="Aptos" w:eastAsia="Times New Roman" w:hAnsi="Aptos" w:cs="Times New Roman"/>
          <w:kern w:val="0"/>
          <w14:ligatures w14:val="none"/>
        </w:rPr>
        <w:t>Praćenje učinkovitosti sustava audita provodi se kroz sljedeće pokazatelje: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977"/>
        <w:gridCol w:w="3647"/>
        <w:gridCol w:w="1568"/>
        <w:gridCol w:w="1440"/>
      </w:tblGrid>
      <w:tr w:rsidR="002A4DDF" w:rsidRPr="002A4DDF" w14:paraId="7CEE58C8" w14:textId="77777777" w:rsidTr="00A80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hideMark/>
          </w:tcPr>
          <w:p w14:paraId="1BC762D8" w14:textId="77777777" w:rsidR="002A4DDF" w:rsidRPr="002A4DDF" w:rsidRDefault="002A4DDF" w:rsidP="002A4DD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KPI pokazatelj</w:t>
            </w:r>
          </w:p>
        </w:tc>
        <w:tc>
          <w:tcPr>
            <w:tcW w:w="3647" w:type="dxa"/>
            <w:hideMark/>
          </w:tcPr>
          <w:p w14:paraId="4B27B84F" w14:textId="77777777" w:rsidR="002A4DDF" w:rsidRPr="002A4DDF" w:rsidRDefault="002A4DDF" w:rsidP="002A4DD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Opis</w:t>
            </w:r>
          </w:p>
        </w:tc>
        <w:tc>
          <w:tcPr>
            <w:tcW w:w="0" w:type="auto"/>
            <w:hideMark/>
          </w:tcPr>
          <w:p w14:paraId="4DD67F3F" w14:textId="77777777" w:rsidR="002A4DDF" w:rsidRPr="002A4DDF" w:rsidRDefault="002A4DDF" w:rsidP="002A4DD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Ciljna vrijednost</w:t>
            </w:r>
          </w:p>
        </w:tc>
        <w:tc>
          <w:tcPr>
            <w:tcW w:w="0" w:type="auto"/>
            <w:hideMark/>
          </w:tcPr>
          <w:p w14:paraId="38DC77D8" w14:textId="77777777" w:rsidR="002A4DDF" w:rsidRPr="002A4DDF" w:rsidRDefault="002A4DDF" w:rsidP="002A4DD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Izvor podataka</w:t>
            </w:r>
          </w:p>
        </w:tc>
      </w:tr>
      <w:tr w:rsidR="002A4DDF" w:rsidRPr="002A4DDF" w14:paraId="74143442" w14:textId="77777777" w:rsidTr="00A80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5ED0DD27" w14:textId="77777777" w:rsidR="002A4DDF" w:rsidRPr="002A4DDF" w:rsidRDefault="002A4DDF" w:rsidP="002A4DD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Postotak realiziranih audita</w:t>
            </w:r>
          </w:p>
        </w:tc>
        <w:tc>
          <w:tcPr>
            <w:tcW w:w="3647" w:type="dxa"/>
            <w:hideMark/>
          </w:tcPr>
          <w:p w14:paraId="0DC0FB9C" w14:textId="77777777" w:rsidR="002A4DDF" w:rsidRPr="002A4DDF" w:rsidRDefault="002A4DDF" w:rsidP="002A4D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broj provedenih audita u odnosu na planirane</w:t>
            </w:r>
          </w:p>
        </w:tc>
        <w:tc>
          <w:tcPr>
            <w:tcW w:w="0" w:type="auto"/>
            <w:hideMark/>
          </w:tcPr>
          <w:p w14:paraId="3F814C5D" w14:textId="77777777" w:rsidR="002A4DDF" w:rsidRPr="002A4DDF" w:rsidRDefault="002A4DDF" w:rsidP="002A4D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≥ 95%</w:t>
            </w:r>
          </w:p>
        </w:tc>
        <w:tc>
          <w:tcPr>
            <w:tcW w:w="0" w:type="auto"/>
            <w:hideMark/>
          </w:tcPr>
          <w:p w14:paraId="5E5B6A91" w14:textId="77777777" w:rsidR="002A4DDF" w:rsidRPr="002A4DDF" w:rsidRDefault="002A4DDF" w:rsidP="002A4D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REG-IA-xx</w:t>
            </w:r>
          </w:p>
        </w:tc>
      </w:tr>
      <w:tr w:rsidR="002A4DDF" w:rsidRPr="002A4DDF" w14:paraId="3017CF45" w14:textId="77777777" w:rsidTr="00A80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4625C448" w14:textId="77777777" w:rsidR="002A4DDF" w:rsidRPr="002A4DDF" w:rsidRDefault="002A4DDF" w:rsidP="002A4DD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Prosječno vrijeme zatvaranja nalaza</w:t>
            </w:r>
          </w:p>
        </w:tc>
        <w:tc>
          <w:tcPr>
            <w:tcW w:w="3647" w:type="dxa"/>
            <w:hideMark/>
          </w:tcPr>
          <w:p w14:paraId="31E7E52F" w14:textId="77777777" w:rsidR="002A4DDF" w:rsidRPr="002A4DDF" w:rsidRDefault="002A4DDF" w:rsidP="002A4D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od dana audita do verifikacije KR</w:t>
            </w:r>
          </w:p>
        </w:tc>
        <w:tc>
          <w:tcPr>
            <w:tcW w:w="0" w:type="auto"/>
            <w:hideMark/>
          </w:tcPr>
          <w:p w14:paraId="28500C8D" w14:textId="77777777" w:rsidR="002A4DDF" w:rsidRPr="002A4DDF" w:rsidRDefault="002A4DDF" w:rsidP="002A4D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≤ 30 dana</w:t>
            </w:r>
          </w:p>
        </w:tc>
        <w:tc>
          <w:tcPr>
            <w:tcW w:w="0" w:type="auto"/>
            <w:hideMark/>
          </w:tcPr>
          <w:p w14:paraId="21FE33D9" w14:textId="77777777" w:rsidR="002A4DDF" w:rsidRPr="002A4DDF" w:rsidRDefault="002A4DDF" w:rsidP="002A4D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REG-NC-KR</w:t>
            </w:r>
          </w:p>
        </w:tc>
      </w:tr>
      <w:tr w:rsidR="002A4DDF" w:rsidRPr="002A4DDF" w14:paraId="279DC037" w14:textId="77777777" w:rsidTr="00A80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1C774FD4" w14:textId="77777777" w:rsidR="002A4DDF" w:rsidRPr="002A4DDF" w:rsidRDefault="002A4DDF" w:rsidP="002A4DD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Postotak pravovremeno zatvorenih NC</w:t>
            </w:r>
          </w:p>
        </w:tc>
        <w:tc>
          <w:tcPr>
            <w:tcW w:w="3647" w:type="dxa"/>
            <w:hideMark/>
          </w:tcPr>
          <w:p w14:paraId="283E2F9D" w14:textId="77777777" w:rsidR="002A4DDF" w:rsidRPr="002A4DDF" w:rsidRDefault="002A4DDF" w:rsidP="002A4D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NC zatvorene u planiranom roku</w:t>
            </w:r>
          </w:p>
        </w:tc>
        <w:tc>
          <w:tcPr>
            <w:tcW w:w="0" w:type="auto"/>
            <w:hideMark/>
          </w:tcPr>
          <w:p w14:paraId="74B56B54" w14:textId="77777777" w:rsidR="002A4DDF" w:rsidRPr="002A4DDF" w:rsidRDefault="002A4DDF" w:rsidP="002A4D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≥ 90%</w:t>
            </w:r>
          </w:p>
        </w:tc>
        <w:tc>
          <w:tcPr>
            <w:tcW w:w="0" w:type="auto"/>
            <w:hideMark/>
          </w:tcPr>
          <w:p w14:paraId="6EE378CA" w14:textId="77777777" w:rsidR="002A4DDF" w:rsidRPr="002A4DDF" w:rsidRDefault="002A4DDF" w:rsidP="002A4DD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REG-NC-KR</w:t>
            </w:r>
          </w:p>
        </w:tc>
      </w:tr>
      <w:tr w:rsidR="002A4DDF" w:rsidRPr="002A4DDF" w14:paraId="553AA4EA" w14:textId="77777777" w:rsidTr="00A80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69E3C7EF" w14:textId="77777777" w:rsidR="002A4DDF" w:rsidRPr="002A4DDF" w:rsidRDefault="002A4DDF" w:rsidP="002A4DD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Broj odgođenih audita bez opravdanja</w:t>
            </w:r>
          </w:p>
        </w:tc>
        <w:tc>
          <w:tcPr>
            <w:tcW w:w="3647" w:type="dxa"/>
            <w:hideMark/>
          </w:tcPr>
          <w:p w14:paraId="627A0060" w14:textId="77777777" w:rsidR="002A4DDF" w:rsidRPr="002A4DDF" w:rsidRDefault="002A4DDF" w:rsidP="002A4D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auditi odgođeni bez odobrenja</w:t>
            </w:r>
          </w:p>
        </w:tc>
        <w:tc>
          <w:tcPr>
            <w:tcW w:w="0" w:type="auto"/>
            <w:hideMark/>
          </w:tcPr>
          <w:p w14:paraId="7D6D59EF" w14:textId="77777777" w:rsidR="002A4DDF" w:rsidRPr="002A4DDF" w:rsidRDefault="002A4DDF" w:rsidP="002A4D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= 0</w:t>
            </w:r>
          </w:p>
        </w:tc>
        <w:tc>
          <w:tcPr>
            <w:tcW w:w="0" w:type="auto"/>
            <w:hideMark/>
          </w:tcPr>
          <w:p w14:paraId="672017B7" w14:textId="77777777" w:rsidR="002A4DDF" w:rsidRPr="002A4DDF" w:rsidRDefault="002A4DDF" w:rsidP="002A4DD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2A4DDF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PLAN-IA-01</w:t>
            </w:r>
          </w:p>
        </w:tc>
      </w:tr>
    </w:tbl>
    <w:p w14:paraId="3A2AF9BB" w14:textId="66140A2D" w:rsidR="002A4DDF" w:rsidRPr="002A4DDF" w:rsidRDefault="0008286D" w:rsidP="0008286D">
      <w:pPr>
        <w:pStyle w:val="Heading1"/>
      </w:pPr>
      <w:r w:rsidRPr="002A4DDF">
        <w:lastRenderedPageBreak/>
        <w:t>DISTRIBUCIJA</w:t>
      </w:r>
    </w:p>
    <w:p w14:paraId="33828634" w14:textId="0A947CC8" w:rsidR="002A4DDF" w:rsidRPr="002A4DDF" w:rsidRDefault="002A4DDF" w:rsidP="0008286D">
      <w:pPr>
        <w:pStyle w:val="Heading2"/>
      </w:pPr>
      <w:r w:rsidRPr="002A4DDF">
        <w:t>Objavljivanje dokumenta</w:t>
      </w:r>
    </w:p>
    <w:p w14:paraId="31633B47" w14:textId="3279FDB1" w:rsidR="002A4DDF" w:rsidRPr="0008286D" w:rsidRDefault="002A4DDF" w:rsidP="0008286D">
      <w:pPr>
        <w:pStyle w:val="ListParagraph"/>
        <w:numPr>
          <w:ilvl w:val="0"/>
          <w:numId w:val="4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286D">
        <w:rPr>
          <w:rFonts w:ascii="Aptos" w:eastAsia="Times New Roman" w:hAnsi="Aptos" w:cs="Times New Roman"/>
          <w:kern w:val="0"/>
          <w14:ligatures w14:val="none"/>
        </w:rPr>
        <w:t>Plan internih audita (PLAN-IA-01) objavljuje Predstavnik uprave (MR) u kontroliranom repozitoriju SharePoint / IMS / Audit.</w:t>
      </w:r>
    </w:p>
    <w:p w14:paraId="46E5EA16" w14:textId="0D062CE5" w:rsidR="002A4DDF" w:rsidRPr="0008286D" w:rsidRDefault="002A4DDF" w:rsidP="0008286D">
      <w:pPr>
        <w:pStyle w:val="ListParagraph"/>
        <w:numPr>
          <w:ilvl w:val="0"/>
          <w:numId w:val="4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286D">
        <w:rPr>
          <w:rFonts w:ascii="Aptos" w:eastAsia="Times New Roman" w:hAnsi="Aptos" w:cs="Times New Roman"/>
          <w:kern w:val="0"/>
          <w14:ligatures w14:val="none"/>
        </w:rPr>
        <w:t>Objavljena verzija mora imati status “Kontrolirani dokument”, s potpisom (ili elektroničkim odobrenjem) direktora i MR-a.</w:t>
      </w:r>
    </w:p>
    <w:p w14:paraId="7D5218EB" w14:textId="01FB1CF2" w:rsidR="002A4DDF" w:rsidRPr="0008286D" w:rsidRDefault="002A4DDF" w:rsidP="0008286D">
      <w:pPr>
        <w:pStyle w:val="ListParagraph"/>
        <w:numPr>
          <w:ilvl w:val="0"/>
          <w:numId w:val="4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286D">
        <w:rPr>
          <w:rFonts w:ascii="Aptos" w:eastAsia="Times New Roman" w:hAnsi="Aptos" w:cs="Times New Roman"/>
          <w:kern w:val="0"/>
          <w14:ligatures w14:val="none"/>
        </w:rPr>
        <w:t>Stare verzije plana arhiviraju se u podmapi SharePoint / IMS / Arhiva / Audit s oznakom “Nevažeće – za referencu”.</w:t>
      </w:r>
    </w:p>
    <w:p w14:paraId="0AECC3F3" w14:textId="3BF56470" w:rsidR="002A4DDF" w:rsidRPr="002A4DDF" w:rsidRDefault="002A4DDF" w:rsidP="0008015A">
      <w:pPr>
        <w:pStyle w:val="Heading2"/>
      </w:pPr>
      <w:r w:rsidRPr="002A4DDF">
        <w:t>Distribucija korisnicima</w:t>
      </w:r>
    </w:p>
    <w:p w14:paraId="3825F248" w14:textId="3FFEF8C8" w:rsidR="002A4DDF" w:rsidRPr="0008015A" w:rsidRDefault="002A4DDF" w:rsidP="0008015A">
      <w:pPr>
        <w:pStyle w:val="ListParagraph"/>
        <w:numPr>
          <w:ilvl w:val="0"/>
          <w:numId w:val="4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MR osigurava da su kopije važećeg plana dostupne sljedećim osobama i funkcijama:</w:t>
      </w:r>
    </w:p>
    <w:p w14:paraId="22CC860E" w14:textId="339ADCDC" w:rsidR="002A4DDF" w:rsidRPr="0008015A" w:rsidRDefault="002A4DDF" w:rsidP="0008015A">
      <w:pPr>
        <w:pStyle w:val="ListParagraph"/>
        <w:numPr>
          <w:ilvl w:val="0"/>
          <w:numId w:val="4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Direktor – odobrava i nadzire realizaciju plana.</w:t>
      </w:r>
    </w:p>
    <w:p w14:paraId="1B3F8F05" w14:textId="5717B358" w:rsidR="002A4DDF" w:rsidRPr="0008015A" w:rsidRDefault="002A4DDF" w:rsidP="0008015A">
      <w:pPr>
        <w:pStyle w:val="ListParagraph"/>
        <w:numPr>
          <w:ilvl w:val="0"/>
          <w:numId w:val="4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HSE referent – koordinira okolišne audite i sudjeluje u kombiniranim auditima.</w:t>
      </w:r>
    </w:p>
    <w:p w14:paraId="705E74AD" w14:textId="4348257D" w:rsidR="002A4DDF" w:rsidRPr="0008015A" w:rsidRDefault="002A4DDF" w:rsidP="0008015A">
      <w:pPr>
        <w:pStyle w:val="ListParagraph"/>
        <w:numPr>
          <w:ilvl w:val="0"/>
          <w:numId w:val="4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Voditelji gradilišta – pripremaju evidenciju i dokumentaciju za audite na svojim lokacijama.</w:t>
      </w:r>
    </w:p>
    <w:p w14:paraId="72AF0416" w14:textId="41D3032D" w:rsidR="002A4DDF" w:rsidRPr="0008015A" w:rsidRDefault="002A4DDF" w:rsidP="0008015A">
      <w:pPr>
        <w:pStyle w:val="ListParagraph"/>
        <w:numPr>
          <w:ilvl w:val="0"/>
          <w:numId w:val="4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Auditori – koriste plan za pripremu i raspored aktivnosti.</w:t>
      </w:r>
    </w:p>
    <w:p w14:paraId="3F3CA7C5" w14:textId="572DBC39" w:rsidR="002A4DDF" w:rsidRPr="0008015A" w:rsidRDefault="002A4DDF" w:rsidP="0008015A">
      <w:pPr>
        <w:pStyle w:val="ListParagraph"/>
        <w:numPr>
          <w:ilvl w:val="0"/>
          <w:numId w:val="4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Administracija – vodi zapise o odobrenju i distribuciji dokumenta.</w:t>
      </w:r>
    </w:p>
    <w:p w14:paraId="481265A5" w14:textId="1D5DAAD2" w:rsidR="002A4DDF" w:rsidRPr="002A4DDF" w:rsidRDefault="002A4DDF" w:rsidP="0008015A">
      <w:pPr>
        <w:pStyle w:val="Heading2"/>
      </w:pPr>
      <w:r w:rsidRPr="002A4DDF">
        <w:t>Komunikacija i obavijesti</w:t>
      </w:r>
    </w:p>
    <w:p w14:paraId="04D2545F" w14:textId="00CF57D0" w:rsidR="002A4DDF" w:rsidRPr="0008015A" w:rsidRDefault="002A4DDF" w:rsidP="0008015A">
      <w:pPr>
        <w:pStyle w:val="ListParagraph"/>
        <w:numPr>
          <w:ilvl w:val="0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O svakoj novoj verziji plana MR obavještava sve korisnike putem:</w:t>
      </w:r>
    </w:p>
    <w:p w14:paraId="13FB636E" w14:textId="2D686F8D" w:rsidR="002A4DDF" w:rsidRPr="0008015A" w:rsidRDefault="002A4DDF" w:rsidP="0008015A">
      <w:pPr>
        <w:pStyle w:val="ListParagraph"/>
        <w:numPr>
          <w:ilvl w:val="1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e-mail obavijesti s linkom na SharePoint,</w:t>
      </w:r>
    </w:p>
    <w:p w14:paraId="2E223F2A" w14:textId="1A8C356A" w:rsidR="002A4DDF" w:rsidRPr="0008015A" w:rsidRDefault="002A4DDF" w:rsidP="0008015A">
      <w:pPr>
        <w:pStyle w:val="ListParagraph"/>
        <w:numPr>
          <w:ilvl w:val="1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interne oglasne ploče (za gradilišta bez digitalnog pristupa),</w:t>
      </w:r>
    </w:p>
    <w:p w14:paraId="72DDFDAE" w14:textId="0FE9E38A" w:rsidR="002A4DDF" w:rsidRPr="0008015A" w:rsidRDefault="002A4DDF" w:rsidP="0008015A">
      <w:pPr>
        <w:pStyle w:val="ListParagraph"/>
        <w:numPr>
          <w:ilvl w:val="1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mjesečnih operativnih sastanaka.</w:t>
      </w:r>
    </w:p>
    <w:p w14:paraId="4959EABB" w14:textId="1ACACD8F" w:rsidR="002A4DDF" w:rsidRPr="0008015A" w:rsidRDefault="002A4DDF" w:rsidP="0008015A">
      <w:pPr>
        <w:pStyle w:val="ListParagraph"/>
        <w:numPr>
          <w:ilvl w:val="0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8015A">
        <w:rPr>
          <w:rFonts w:ascii="Aptos" w:eastAsia="Times New Roman" w:hAnsi="Aptos" w:cs="Times New Roman"/>
          <w:kern w:val="0"/>
          <w14:ligatures w14:val="none"/>
        </w:rPr>
        <w:t>MR bilježi datume slanja i potvrde primitka u Zapisnik o distribuciji dokumenata (ZAP-DIS-xx), u skladu s procedurom PROC-IMS-01 Upravljanje dokumentima i zapisima.</w:t>
      </w:r>
    </w:p>
    <w:p w14:paraId="19053FC7" w14:textId="2E17DBF3" w:rsidR="002A4DDF" w:rsidRPr="002A4DDF" w:rsidRDefault="002A4DDF" w:rsidP="00A804C6">
      <w:pPr>
        <w:pStyle w:val="Heading2"/>
      </w:pPr>
      <w:r w:rsidRPr="002A4DDF">
        <w:t>Kontrola pristupa i izmjena</w:t>
      </w:r>
    </w:p>
    <w:p w14:paraId="796C73B4" w14:textId="29918934" w:rsidR="002A4DDF" w:rsidRPr="002A4DDF" w:rsidRDefault="002A4DDF" w:rsidP="00A804C6">
      <w:pPr>
        <w:pStyle w:val="ListParagraph"/>
        <w:numPr>
          <w:ilvl w:val="0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Samo MR i Direktor mogu uređivati PLAN-IA-01.</w:t>
      </w:r>
    </w:p>
    <w:p w14:paraId="509FCC5B" w14:textId="4F496456" w:rsidR="002A4DDF" w:rsidRPr="002A4DDF" w:rsidRDefault="002A4DDF" w:rsidP="00A804C6">
      <w:pPr>
        <w:pStyle w:val="ListParagraph"/>
        <w:numPr>
          <w:ilvl w:val="0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Auditori i voditelji gradilišta imaju read-only pristup.</w:t>
      </w:r>
    </w:p>
    <w:p w14:paraId="0A3A8EB5" w14:textId="4D9B05EB" w:rsidR="002A4DDF" w:rsidRDefault="002A4DDF" w:rsidP="00A804C6">
      <w:pPr>
        <w:pStyle w:val="ListParagraph"/>
        <w:numPr>
          <w:ilvl w:val="0"/>
          <w:numId w:val="45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A4DDF">
        <w:rPr>
          <w:rFonts w:ascii="Aptos" w:eastAsia="Times New Roman" w:hAnsi="Aptos" w:cs="Times New Roman"/>
          <w:kern w:val="0"/>
          <w14:ligatures w14:val="none"/>
        </w:rPr>
        <w:t>Svaka izmjena u planu mora biti dokumentirana i označena verzijom (v1.1, v1.2 itd.), uz opis promjene i potpis MR-a.</w:t>
      </w:r>
    </w:p>
    <w:p w14:paraId="428C9ED5" w14:textId="48B71559" w:rsidR="00875131" w:rsidRPr="00E637EC" w:rsidRDefault="00875131" w:rsidP="00875131">
      <w:pPr>
        <w:pStyle w:val="Heading1"/>
        <w:jc w:val="both"/>
        <w:rPr>
          <w:rFonts w:ascii="Aptos" w:hAnsi="Aptos" w:cs="Times New Roman"/>
          <w:kern w:val="0"/>
          <w14:ligatures w14:val="none"/>
        </w:rPr>
      </w:pPr>
      <w:r w:rsidRPr="00875131">
        <w:rPr>
          <w:rFonts w:ascii="Aptos" w:hAnsi="Aptos" w:cs="Times New Roman"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60"/>
        <w:gridCol w:w="1450"/>
        <w:gridCol w:w="5812"/>
        <w:gridCol w:w="1417"/>
      </w:tblGrid>
      <w:tr w:rsidR="00875131" w:rsidRPr="0073506E" w14:paraId="2182C231" w14:textId="77777777" w:rsidTr="0093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7B62FA4" w14:textId="77777777" w:rsidR="00875131" w:rsidRPr="0073506E" w:rsidRDefault="008751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Verzija</w:t>
            </w:r>
          </w:p>
        </w:tc>
        <w:tc>
          <w:tcPr>
            <w:tcW w:w="1450" w:type="dxa"/>
            <w:hideMark/>
          </w:tcPr>
          <w:p w14:paraId="134E6D63" w14:textId="77777777" w:rsidR="00875131" w:rsidRPr="0073506E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Datum</w:t>
            </w:r>
          </w:p>
        </w:tc>
        <w:tc>
          <w:tcPr>
            <w:tcW w:w="5812" w:type="dxa"/>
            <w:hideMark/>
          </w:tcPr>
          <w:p w14:paraId="42C73B64" w14:textId="77777777" w:rsidR="00875131" w:rsidRPr="0073506E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Opis promjene</w:t>
            </w:r>
          </w:p>
        </w:tc>
        <w:tc>
          <w:tcPr>
            <w:tcW w:w="1417" w:type="dxa"/>
            <w:hideMark/>
          </w:tcPr>
          <w:p w14:paraId="703E4FA8" w14:textId="77777777" w:rsidR="00875131" w:rsidRPr="0073506E" w:rsidRDefault="00875131" w:rsidP="008355A2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Odobrio</w:t>
            </w:r>
          </w:p>
        </w:tc>
      </w:tr>
      <w:tr w:rsidR="00875131" w:rsidRPr="0073506E" w14:paraId="3CCADA92" w14:textId="77777777" w:rsidTr="0093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08354" w14:textId="77777777" w:rsidR="00875131" w:rsidRPr="0073506E" w:rsidRDefault="00875131" w:rsidP="008355A2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v1.0</w:t>
            </w:r>
          </w:p>
        </w:tc>
        <w:tc>
          <w:tcPr>
            <w:tcW w:w="1450" w:type="dxa"/>
            <w:hideMark/>
          </w:tcPr>
          <w:p w14:paraId="019B09D5" w14:textId="77777777" w:rsidR="00875131" w:rsidRPr="0073506E" w:rsidRDefault="00875131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10.11.2025.</w:t>
            </w:r>
          </w:p>
        </w:tc>
        <w:tc>
          <w:tcPr>
            <w:tcW w:w="5812" w:type="dxa"/>
            <w:hideMark/>
          </w:tcPr>
          <w:p w14:paraId="33D4DB77" w14:textId="7CA58144" w:rsidR="00875131" w:rsidRPr="0073506E" w:rsidRDefault="0038698E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Inicijalno izdanje godišnjeg plana internih audita IMS</w:t>
            </w:r>
          </w:p>
        </w:tc>
        <w:tc>
          <w:tcPr>
            <w:tcW w:w="1417" w:type="dxa"/>
            <w:hideMark/>
          </w:tcPr>
          <w:p w14:paraId="07F428B8" w14:textId="77777777" w:rsidR="00875131" w:rsidRPr="0073506E" w:rsidRDefault="00875131" w:rsidP="008355A2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73506E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Direktor</w:t>
            </w:r>
          </w:p>
        </w:tc>
      </w:tr>
    </w:tbl>
    <w:p w14:paraId="2B1AE9EB" w14:textId="77777777" w:rsidR="00875131" w:rsidRDefault="00875131" w:rsidP="005C2F1D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sectPr w:rsidR="00875131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955D" w14:textId="77777777" w:rsidR="009455E9" w:rsidRDefault="009455E9" w:rsidP="00E637EC">
      <w:pPr>
        <w:spacing w:after="0" w:line="240" w:lineRule="auto"/>
      </w:pPr>
      <w:r>
        <w:separator/>
      </w:r>
    </w:p>
  </w:endnote>
  <w:endnote w:type="continuationSeparator" w:id="0">
    <w:p w14:paraId="383043DB" w14:textId="77777777" w:rsidR="009455E9" w:rsidRDefault="009455E9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C0A1" w14:textId="77777777" w:rsidR="009455E9" w:rsidRDefault="009455E9" w:rsidP="00E637EC">
      <w:pPr>
        <w:spacing w:after="0" w:line="240" w:lineRule="auto"/>
      </w:pPr>
      <w:r>
        <w:separator/>
      </w:r>
    </w:p>
  </w:footnote>
  <w:footnote w:type="continuationSeparator" w:id="0">
    <w:p w14:paraId="5DE4EA9C" w14:textId="77777777" w:rsidR="009455E9" w:rsidRDefault="009455E9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154AC010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FB58C5">
            <w:rPr>
              <w:rFonts w:ascii="Aptos" w:hAnsi="Aptos"/>
              <w:b/>
              <w:iCs/>
              <w:szCs w:val="20"/>
            </w:rPr>
            <w:t>Plan internih audita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2A76C41A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FB58C5">
            <w:rPr>
              <w:rFonts w:ascii="Aptos" w:hAnsi="Aptos"/>
              <w:b/>
              <w:bCs/>
              <w:sz w:val="18"/>
              <w:szCs w:val="18"/>
            </w:rPr>
            <w:t>PLAN-IA-01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3AA77F6D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E94E84">
            <w:rPr>
              <w:rFonts w:ascii="Aptos" w:hAnsi="Aptos"/>
              <w:b/>
              <w:noProof/>
              <w:sz w:val="18"/>
              <w:szCs w:val="18"/>
            </w:rPr>
            <w:t>21.11.2025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AB0"/>
    <w:multiLevelType w:val="hybridMultilevel"/>
    <w:tmpl w:val="D168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081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E1C"/>
    <w:multiLevelType w:val="hybridMultilevel"/>
    <w:tmpl w:val="2190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814"/>
    <w:multiLevelType w:val="hybridMultilevel"/>
    <w:tmpl w:val="D3B0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E3B"/>
    <w:multiLevelType w:val="hybridMultilevel"/>
    <w:tmpl w:val="7640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123EA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949FC"/>
    <w:multiLevelType w:val="hybridMultilevel"/>
    <w:tmpl w:val="0A6A0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06F93"/>
    <w:multiLevelType w:val="multilevel"/>
    <w:tmpl w:val="35E0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46E04"/>
    <w:multiLevelType w:val="multilevel"/>
    <w:tmpl w:val="AA26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04D0E"/>
    <w:multiLevelType w:val="hybridMultilevel"/>
    <w:tmpl w:val="8FA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7338C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2405"/>
    <w:multiLevelType w:val="hybridMultilevel"/>
    <w:tmpl w:val="0F0A6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A3A9F"/>
    <w:multiLevelType w:val="hybridMultilevel"/>
    <w:tmpl w:val="26F8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63AF2"/>
    <w:multiLevelType w:val="hybridMultilevel"/>
    <w:tmpl w:val="0796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240EC"/>
    <w:multiLevelType w:val="hybridMultilevel"/>
    <w:tmpl w:val="A614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E3CDC"/>
    <w:multiLevelType w:val="multilevel"/>
    <w:tmpl w:val="FA3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EB259F"/>
    <w:multiLevelType w:val="hybridMultilevel"/>
    <w:tmpl w:val="DA1E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41D9C"/>
    <w:multiLevelType w:val="hybridMultilevel"/>
    <w:tmpl w:val="2EF0F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C5797"/>
    <w:multiLevelType w:val="hybridMultilevel"/>
    <w:tmpl w:val="E446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E6074CC"/>
    <w:multiLevelType w:val="multilevel"/>
    <w:tmpl w:val="ECB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014C3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41415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9600B"/>
    <w:multiLevelType w:val="hybridMultilevel"/>
    <w:tmpl w:val="C42A2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06C0"/>
    <w:multiLevelType w:val="hybridMultilevel"/>
    <w:tmpl w:val="2424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32808"/>
    <w:multiLevelType w:val="hybridMultilevel"/>
    <w:tmpl w:val="ED02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0278C"/>
    <w:multiLevelType w:val="multilevel"/>
    <w:tmpl w:val="C20A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A7310"/>
    <w:multiLevelType w:val="hybridMultilevel"/>
    <w:tmpl w:val="832E1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AD7B04"/>
    <w:multiLevelType w:val="multilevel"/>
    <w:tmpl w:val="1508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D0E80"/>
    <w:multiLevelType w:val="hybridMultilevel"/>
    <w:tmpl w:val="DDBE7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630B3E"/>
    <w:multiLevelType w:val="hybridMultilevel"/>
    <w:tmpl w:val="0B7A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431D2"/>
    <w:multiLevelType w:val="hybridMultilevel"/>
    <w:tmpl w:val="E5CC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A4CFA"/>
    <w:multiLevelType w:val="multilevel"/>
    <w:tmpl w:val="9BF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F81BD5"/>
    <w:multiLevelType w:val="hybridMultilevel"/>
    <w:tmpl w:val="F224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03B61"/>
    <w:multiLevelType w:val="hybridMultilevel"/>
    <w:tmpl w:val="528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155E5"/>
    <w:multiLevelType w:val="hybridMultilevel"/>
    <w:tmpl w:val="E75092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B670C7"/>
    <w:multiLevelType w:val="multilevel"/>
    <w:tmpl w:val="8DF4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F7F8F"/>
    <w:multiLevelType w:val="multilevel"/>
    <w:tmpl w:val="B07A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6D5C20"/>
    <w:multiLevelType w:val="hybridMultilevel"/>
    <w:tmpl w:val="66263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053051">
    <w:abstractNumId w:val="15"/>
  </w:num>
  <w:num w:numId="2" w16cid:durableId="1937514702">
    <w:abstractNumId w:val="20"/>
  </w:num>
  <w:num w:numId="3" w16cid:durableId="740640015">
    <w:abstractNumId w:val="2"/>
  </w:num>
  <w:num w:numId="4" w16cid:durableId="1944145200">
    <w:abstractNumId w:val="35"/>
  </w:num>
  <w:num w:numId="5" w16cid:durableId="1496725448">
    <w:abstractNumId w:val="12"/>
  </w:num>
  <w:num w:numId="6" w16cid:durableId="1662460538">
    <w:abstractNumId w:val="26"/>
  </w:num>
  <w:num w:numId="7" w16cid:durableId="1585259170">
    <w:abstractNumId w:val="24"/>
  </w:num>
  <w:num w:numId="8" w16cid:durableId="2045058928">
    <w:abstractNumId w:val="39"/>
  </w:num>
  <w:num w:numId="9" w16cid:durableId="757597550">
    <w:abstractNumId w:val="10"/>
  </w:num>
  <w:num w:numId="10" w16cid:durableId="124198969">
    <w:abstractNumId w:val="5"/>
  </w:num>
  <w:num w:numId="11" w16cid:durableId="1893737456">
    <w:abstractNumId w:val="30"/>
  </w:num>
  <w:num w:numId="12" w16cid:durableId="923800674">
    <w:abstractNumId w:val="22"/>
  </w:num>
  <w:num w:numId="13" w16cid:durableId="1990133714">
    <w:abstractNumId w:val="28"/>
  </w:num>
  <w:num w:numId="14" w16cid:durableId="579365482">
    <w:abstractNumId w:val="23"/>
  </w:num>
  <w:num w:numId="15" w16cid:durableId="1723016805">
    <w:abstractNumId w:val="1"/>
  </w:num>
  <w:num w:numId="16" w16cid:durableId="250773040">
    <w:abstractNumId w:val="20"/>
  </w:num>
  <w:num w:numId="17" w16cid:durableId="593170621">
    <w:abstractNumId w:val="20"/>
  </w:num>
  <w:num w:numId="18" w16cid:durableId="1761095940">
    <w:abstractNumId w:val="20"/>
  </w:num>
  <w:num w:numId="19" w16cid:durableId="1913811981">
    <w:abstractNumId w:val="25"/>
  </w:num>
  <w:num w:numId="20" w16cid:durableId="1921209908">
    <w:abstractNumId w:val="17"/>
  </w:num>
  <w:num w:numId="21" w16cid:durableId="144050983">
    <w:abstractNumId w:val="3"/>
  </w:num>
  <w:num w:numId="22" w16cid:durableId="651175625">
    <w:abstractNumId w:val="9"/>
  </w:num>
  <w:num w:numId="23" w16cid:durableId="703334486">
    <w:abstractNumId w:val="0"/>
  </w:num>
  <w:num w:numId="24" w16cid:durableId="87506600">
    <w:abstractNumId w:val="8"/>
  </w:num>
  <w:num w:numId="25" w16cid:durableId="653490509">
    <w:abstractNumId w:val="37"/>
  </w:num>
  <w:num w:numId="26" w16cid:durableId="1077558547">
    <w:abstractNumId w:val="21"/>
  </w:num>
  <w:num w:numId="27" w16cid:durableId="1195651037">
    <w:abstractNumId w:val="16"/>
  </w:num>
  <w:num w:numId="28" w16cid:durableId="1466578225">
    <w:abstractNumId w:val="38"/>
  </w:num>
  <w:num w:numId="29" w16cid:durableId="1851674373">
    <w:abstractNumId w:val="27"/>
  </w:num>
  <w:num w:numId="30" w16cid:durableId="1629317467">
    <w:abstractNumId w:val="33"/>
  </w:num>
  <w:num w:numId="31" w16cid:durableId="700978428">
    <w:abstractNumId w:val="7"/>
  </w:num>
  <w:num w:numId="32" w16cid:durableId="721944968">
    <w:abstractNumId w:val="34"/>
  </w:num>
  <w:num w:numId="33" w16cid:durableId="824127569">
    <w:abstractNumId w:val="20"/>
  </w:num>
  <w:num w:numId="34" w16cid:durableId="520514105">
    <w:abstractNumId w:val="20"/>
  </w:num>
  <w:num w:numId="35" w16cid:durableId="446390786">
    <w:abstractNumId w:val="18"/>
  </w:num>
  <w:num w:numId="36" w16cid:durableId="803888247">
    <w:abstractNumId w:val="6"/>
  </w:num>
  <w:num w:numId="37" w16cid:durableId="549927239">
    <w:abstractNumId w:val="4"/>
  </w:num>
  <w:num w:numId="38" w16cid:durableId="1863779047">
    <w:abstractNumId w:val="29"/>
  </w:num>
  <w:num w:numId="39" w16cid:durableId="38750415">
    <w:abstractNumId w:val="32"/>
  </w:num>
  <w:num w:numId="40" w16cid:durableId="996108812">
    <w:abstractNumId w:val="13"/>
  </w:num>
  <w:num w:numId="41" w16cid:durableId="812601887">
    <w:abstractNumId w:val="11"/>
  </w:num>
  <w:num w:numId="42" w16cid:durableId="331223890">
    <w:abstractNumId w:val="36"/>
  </w:num>
  <w:num w:numId="43" w16cid:durableId="1448423451">
    <w:abstractNumId w:val="14"/>
  </w:num>
  <w:num w:numId="44" w16cid:durableId="1112096096">
    <w:abstractNumId w:val="19"/>
  </w:num>
  <w:num w:numId="45" w16cid:durableId="299457811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76CD"/>
    <w:rsid w:val="0008015A"/>
    <w:rsid w:val="0008286D"/>
    <w:rsid w:val="00087170"/>
    <w:rsid w:val="00087A0B"/>
    <w:rsid w:val="00090692"/>
    <w:rsid w:val="000B7010"/>
    <w:rsid w:val="000D212D"/>
    <w:rsid w:val="000E2AC0"/>
    <w:rsid w:val="00121635"/>
    <w:rsid w:val="00137813"/>
    <w:rsid w:val="00145A75"/>
    <w:rsid w:val="00160E66"/>
    <w:rsid w:val="00182263"/>
    <w:rsid w:val="00196701"/>
    <w:rsid w:val="001A0700"/>
    <w:rsid w:val="001A1646"/>
    <w:rsid w:val="001C16A0"/>
    <w:rsid w:val="001C63A5"/>
    <w:rsid w:val="001C7360"/>
    <w:rsid w:val="001E0A27"/>
    <w:rsid w:val="001E53E3"/>
    <w:rsid w:val="002228D9"/>
    <w:rsid w:val="00233B69"/>
    <w:rsid w:val="00235234"/>
    <w:rsid w:val="002A4DDF"/>
    <w:rsid w:val="002F141A"/>
    <w:rsid w:val="003208C3"/>
    <w:rsid w:val="0032478E"/>
    <w:rsid w:val="00330BD6"/>
    <w:rsid w:val="0036441E"/>
    <w:rsid w:val="00364769"/>
    <w:rsid w:val="0038698E"/>
    <w:rsid w:val="003A515D"/>
    <w:rsid w:val="003D446E"/>
    <w:rsid w:val="003F2622"/>
    <w:rsid w:val="00403916"/>
    <w:rsid w:val="00421A76"/>
    <w:rsid w:val="00436D42"/>
    <w:rsid w:val="00447582"/>
    <w:rsid w:val="004667D7"/>
    <w:rsid w:val="00495CA4"/>
    <w:rsid w:val="004B5302"/>
    <w:rsid w:val="004F39BA"/>
    <w:rsid w:val="004F5B8C"/>
    <w:rsid w:val="00562887"/>
    <w:rsid w:val="0057768F"/>
    <w:rsid w:val="00597597"/>
    <w:rsid w:val="005C2F1D"/>
    <w:rsid w:val="005C7262"/>
    <w:rsid w:val="005D3988"/>
    <w:rsid w:val="005D3C3C"/>
    <w:rsid w:val="005E6AEA"/>
    <w:rsid w:val="00605627"/>
    <w:rsid w:val="00606076"/>
    <w:rsid w:val="00652CCF"/>
    <w:rsid w:val="00673A2B"/>
    <w:rsid w:val="00674CDA"/>
    <w:rsid w:val="0069640E"/>
    <w:rsid w:val="006C578A"/>
    <w:rsid w:val="006C60FA"/>
    <w:rsid w:val="00720A4F"/>
    <w:rsid w:val="0072201A"/>
    <w:rsid w:val="007235BD"/>
    <w:rsid w:val="0073506E"/>
    <w:rsid w:val="00785C48"/>
    <w:rsid w:val="007C03D5"/>
    <w:rsid w:val="007E1BCA"/>
    <w:rsid w:val="007F4535"/>
    <w:rsid w:val="00815F1E"/>
    <w:rsid w:val="008522CD"/>
    <w:rsid w:val="00860B7A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83E"/>
    <w:rsid w:val="009804CE"/>
    <w:rsid w:val="009A350A"/>
    <w:rsid w:val="009B43E8"/>
    <w:rsid w:val="009C7B74"/>
    <w:rsid w:val="009F11B7"/>
    <w:rsid w:val="00A31FE8"/>
    <w:rsid w:val="00A3575C"/>
    <w:rsid w:val="00A40914"/>
    <w:rsid w:val="00A4137A"/>
    <w:rsid w:val="00A7360A"/>
    <w:rsid w:val="00A7658C"/>
    <w:rsid w:val="00A804C6"/>
    <w:rsid w:val="00AC4CD3"/>
    <w:rsid w:val="00AC596E"/>
    <w:rsid w:val="00AD2150"/>
    <w:rsid w:val="00AF7E18"/>
    <w:rsid w:val="00B14491"/>
    <w:rsid w:val="00B23FAA"/>
    <w:rsid w:val="00B26B76"/>
    <w:rsid w:val="00B67E40"/>
    <w:rsid w:val="00BB418E"/>
    <w:rsid w:val="00C155B7"/>
    <w:rsid w:val="00C26EA9"/>
    <w:rsid w:val="00C64137"/>
    <w:rsid w:val="00C773C5"/>
    <w:rsid w:val="00C8213D"/>
    <w:rsid w:val="00CA7565"/>
    <w:rsid w:val="00CE48ED"/>
    <w:rsid w:val="00D06C4E"/>
    <w:rsid w:val="00D10A82"/>
    <w:rsid w:val="00D2671A"/>
    <w:rsid w:val="00D3458A"/>
    <w:rsid w:val="00D57A97"/>
    <w:rsid w:val="00D97AE0"/>
    <w:rsid w:val="00DA3F52"/>
    <w:rsid w:val="00DC27D8"/>
    <w:rsid w:val="00DE58A2"/>
    <w:rsid w:val="00DF09FE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71D3"/>
    <w:rsid w:val="00F83C44"/>
    <w:rsid w:val="00F903E4"/>
    <w:rsid w:val="00FB58C5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2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2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Interni audit</vt:lpstr>
    </vt:vector>
  </TitlesOfParts>
  <Manager/>
  <Company>TEHMA d.o.o.</Company>
  <LinksUpToDate>false</LinksUpToDate>
  <CharactersWithSpaces>10574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internih audita</dc:title>
  <dc:subject/>
  <dc:creator>Daniel Bara</dc:creator>
  <cp:keywords>PLAN-IA-01</cp:keywords>
  <dc:description/>
  <cp:lastModifiedBy>Daniel Bara</cp:lastModifiedBy>
  <cp:revision>27</cp:revision>
  <dcterms:created xsi:type="dcterms:W3CDTF">2025-11-09T22:00:00Z</dcterms:created>
  <dcterms:modified xsi:type="dcterms:W3CDTF">2025-11-21T18:51:00Z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